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ACD" w:rsidRDefault="00AF1ACD" w:rsidP="00AF1ACD">
      <w:pPr>
        <w:jc w:val="right"/>
        <w:rPr>
          <w:rFonts w:eastAsia="Calibri" w:cstheme="minorHAnsi"/>
        </w:rPr>
      </w:pPr>
      <w:r w:rsidRPr="00FA1823">
        <w:rPr>
          <w:rFonts w:eastAsia="Calibri" w:cstheme="minorHAnsi"/>
        </w:rPr>
        <w:t xml:space="preserve">Łódź, dnia </w:t>
      </w:r>
      <w:r w:rsidR="00E274D5">
        <w:rPr>
          <w:rFonts w:eastAsia="Calibri" w:cstheme="minorHAnsi"/>
        </w:rPr>
        <w:t>06</w:t>
      </w:r>
      <w:bookmarkStart w:id="0" w:name="_GoBack"/>
      <w:bookmarkEnd w:id="0"/>
      <w:r w:rsidR="00600CF9">
        <w:rPr>
          <w:rFonts w:eastAsia="Calibri" w:cstheme="minorHAnsi"/>
        </w:rPr>
        <w:t>.0</w:t>
      </w:r>
      <w:r w:rsidR="003E22A0">
        <w:rPr>
          <w:rFonts w:eastAsia="Calibri" w:cstheme="minorHAnsi"/>
        </w:rPr>
        <w:t>3</w:t>
      </w:r>
      <w:r w:rsidRPr="00FA1823">
        <w:rPr>
          <w:rFonts w:eastAsia="Calibri" w:cstheme="minorHAnsi"/>
        </w:rPr>
        <w:t>.20</w:t>
      </w:r>
      <w:r w:rsidR="00871844">
        <w:rPr>
          <w:rFonts w:eastAsia="Calibri" w:cstheme="minorHAnsi"/>
        </w:rPr>
        <w:t>2</w:t>
      </w:r>
      <w:r w:rsidR="00600CF9">
        <w:rPr>
          <w:rFonts w:eastAsia="Calibri" w:cstheme="minorHAnsi"/>
        </w:rPr>
        <w:t>5</w:t>
      </w:r>
      <w:r w:rsidRPr="00FA1823">
        <w:rPr>
          <w:rFonts w:eastAsia="Calibri" w:cstheme="minorHAnsi"/>
        </w:rPr>
        <w:t xml:space="preserve"> r.</w:t>
      </w:r>
    </w:p>
    <w:p w:rsidR="00D32D5F" w:rsidRPr="00FA1823" w:rsidRDefault="00D32D5F" w:rsidP="00AF1ACD">
      <w:pPr>
        <w:jc w:val="right"/>
        <w:rPr>
          <w:rFonts w:eastAsia="Calibri" w:cstheme="minorHAnsi"/>
        </w:rPr>
      </w:pPr>
    </w:p>
    <w:p w:rsidR="00AF1ACD" w:rsidRDefault="00AF1ACD" w:rsidP="00AF1ACD">
      <w:pPr>
        <w:rPr>
          <w:rFonts w:cstheme="minorHAnsi"/>
        </w:rPr>
      </w:pPr>
    </w:p>
    <w:p w:rsidR="008F4F0E" w:rsidRDefault="008F4F0E" w:rsidP="00AF1ACD">
      <w:pPr>
        <w:rPr>
          <w:rFonts w:cstheme="minorHAnsi"/>
        </w:rPr>
      </w:pPr>
    </w:p>
    <w:p w:rsidR="008F4F0E" w:rsidRPr="00AF1ACD" w:rsidRDefault="008F4F0E" w:rsidP="00AF1ACD">
      <w:pPr>
        <w:rPr>
          <w:rFonts w:cstheme="minorHAnsi"/>
        </w:rPr>
      </w:pPr>
    </w:p>
    <w:p w:rsidR="00AF1ACD" w:rsidRPr="00AF1ACD" w:rsidRDefault="00AF1ACD" w:rsidP="00600CF9">
      <w:pPr>
        <w:keepNext/>
        <w:keepLines/>
        <w:jc w:val="both"/>
        <w:outlineLvl w:val="1"/>
        <w:rPr>
          <w:rFonts w:cstheme="minorHAnsi"/>
          <w:b/>
        </w:rPr>
      </w:pPr>
      <w:r w:rsidRPr="00AF1ACD">
        <w:rPr>
          <w:rFonts w:cstheme="minorHAnsi"/>
          <w:b/>
        </w:rPr>
        <w:t xml:space="preserve">DOTYCZY: </w:t>
      </w:r>
      <w:r w:rsidR="00600CF9" w:rsidRPr="00600CF9">
        <w:rPr>
          <w:rFonts w:cstheme="minorHAnsi"/>
          <w:b/>
        </w:rPr>
        <w:t>Postępowanie konkursowe</w:t>
      </w:r>
      <w:r w:rsidR="00600CF9">
        <w:rPr>
          <w:rFonts w:cstheme="minorHAnsi"/>
          <w:b/>
        </w:rPr>
        <w:t xml:space="preserve"> </w:t>
      </w:r>
      <w:r w:rsidR="00600CF9" w:rsidRPr="00600CF9">
        <w:rPr>
          <w:rFonts w:cstheme="minorHAnsi"/>
          <w:b/>
        </w:rPr>
        <w:t>na udzielanie świadczeń zdrowotnych</w:t>
      </w:r>
      <w:r w:rsidR="00600CF9">
        <w:rPr>
          <w:rFonts w:cstheme="minorHAnsi"/>
          <w:b/>
        </w:rPr>
        <w:t xml:space="preserve"> </w:t>
      </w:r>
      <w:r w:rsidR="00600CF9" w:rsidRPr="00600CF9">
        <w:rPr>
          <w:rFonts w:cstheme="minorHAnsi"/>
          <w:b/>
        </w:rPr>
        <w:t>w</w:t>
      </w:r>
      <w:r w:rsidR="00600CF9">
        <w:rPr>
          <w:rFonts w:cstheme="minorHAnsi"/>
          <w:b/>
        </w:rPr>
        <w:t> </w:t>
      </w:r>
      <w:r w:rsidR="00600CF9" w:rsidRPr="00600CF9">
        <w:rPr>
          <w:rFonts w:cstheme="minorHAnsi"/>
          <w:b/>
        </w:rPr>
        <w:t>zak</w:t>
      </w:r>
      <w:r w:rsidR="003E22A0">
        <w:rPr>
          <w:rFonts w:cstheme="minorHAnsi"/>
          <w:b/>
        </w:rPr>
        <w:t>resie badań molekularnych</w:t>
      </w:r>
    </w:p>
    <w:p w:rsidR="00AF1ACD" w:rsidRPr="00FA1823" w:rsidRDefault="00AF1ACD" w:rsidP="0081067E">
      <w:pPr>
        <w:jc w:val="both"/>
        <w:rPr>
          <w:rFonts w:eastAsia="Calibri" w:cstheme="minorHAnsi"/>
        </w:rPr>
      </w:pPr>
    </w:p>
    <w:p w:rsidR="00AF1ACD" w:rsidRPr="0081067E" w:rsidRDefault="00600CF9" w:rsidP="0081067E">
      <w:pPr>
        <w:rPr>
          <w:rFonts w:eastAsia="Calibri" w:cstheme="minorHAnsi"/>
        </w:rPr>
      </w:pPr>
      <w:r>
        <w:rPr>
          <w:rFonts w:cstheme="minorHAnsi"/>
        </w:rPr>
        <w:t xml:space="preserve">SP ZOZ </w:t>
      </w:r>
      <w:r w:rsidR="0081067E" w:rsidRPr="0081067E">
        <w:rPr>
          <w:rFonts w:cstheme="minorHAnsi"/>
        </w:rPr>
        <w:t xml:space="preserve">Centralny Szpital Kliniczny Uniwersytetu Medycznego w Łodzi informuje, </w:t>
      </w:r>
      <w:r>
        <w:rPr>
          <w:rFonts w:cstheme="minorHAnsi"/>
        </w:rPr>
        <w:t>że</w:t>
      </w:r>
      <w:r w:rsidR="0081067E" w:rsidRPr="0081067E">
        <w:rPr>
          <w:rFonts w:cstheme="minorHAnsi"/>
        </w:rPr>
        <w:t xml:space="preserve"> w toku prowadzonego konkursu </w:t>
      </w:r>
      <w:r w:rsidR="0081067E">
        <w:rPr>
          <w:rFonts w:cstheme="minorHAnsi"/>
        </w:rPr>
        <w:t xml:space="preserve">ofert </w:t>
      </w:r>
      <w:r w:rsidR="0081067E" w:rsidRPr="0081067E">
        <w:rPr>
          <w:rFonts w:cstheme="minorHAnsi"/>
        </w:rPr>
        <w:t>wpłynęł</w:t>
      </w:r>
      <w:r w:rsidR="0010593A">
        <w:rPr>
          <w:rFonts w:cstheme="minorHAnsi"/>
        </w:rPr>
        <w:t>y</w:t>
      </w:r>
      <w:r w:rsidR="0081067E" w:rsidRPr="0081067E">
        <w:rPr>
          <w:rFonts w:cstheme="minorHAnsi"/>
        </w:rPr>
        <w:t xml:space="preserve"> pytani</w:t>
      </w:r>
      <w:r w:rsidR="00871844">
        <w:rPr>
          <w:rFonts w:cstheme="minorHAnsi"/>
        </w:rPr>
        <w:t>a</w:t>
      </w:r>
      <w:r w:rsidR="001A1150">
        <w:rPr>
          <w:rFonts w:cstheme="minorHAnsi"/>
        </w:rPr>
        <w:t xml:space="preserve"> </w:t>
      </w:r>
      <w:r w:rsidR="0081067E" w:rsidRPr="0081067E">
        <w:rPr>
          <w:rFonts w:cstheme="minorHAnsi"/>
        </w:rPr>
        <w:t>dotyczące treści Szczegółowych Warunków Konkursu Ofert:</w:t>
      </w:r>
    </w:p>
    <w:p w:rsidR="00AF1ACD" w:rsidRDefault="00AF1ACD" w:rsidP="00AF1ACD">
      <w:pPr>
        <w:jc w:val="right"/>
        <w:rPr>
          <w:rFonts w:eastAsia="Calibri" w:cstheme="minorHAnsi"/>
        </w:rPr>
      </w:pPr>
    </w:p>
    <w:p w:rsidR="008F4F0E" w:rsidRPr="00FA1823" w:rsidRDefault="008F4F0E" w:rsidP="00AF1ACD">
      <w:pPr>
        <w:jc w:val="right"/>
        <w:rPr>
          <w:rFonts w:eastAsia="Calibri" w:cstheme="minorHAnsi"/>
        </w:rPr>
      </w:pPr>
    </w:p>
    <w:p w:rsidR="00301F3C" w:rsidRPr="008F4F0E" w:rsidRDefault="0010593A" w:rsidP="00EC64F8">
      <w:pPr>
        <w:jc w:val="both"/>
        <w:rPr>
          <w:rFonts w:eastAsia="Calibri" w:cstheme="minorHAnsi"/>
          <w:b/>
          <w:u w:val="single"/>
        </w:rPr>
      </w:pPr>
      <w:r>
        <w:rPr>
          <w:rFonts w:eastAsia="Calibri" w:cstheme="minorHAnsi"/>
          <w:b/>
          <w:u w:val="single"/>
        </w:rPr>
        <w:t>Pytanie nr 1</w:t>
      </w:r>
    </w:p>
    <w:p w:rsidR="00114261" w:rsidRDefault="00301F3C" w:rsidP="0033309E">
      <w:pPr>
        <w:jc w:val="both"/>
        <w:rPr>
          <w:b/>
        </w:rPr>
      </w:pPr>
      <w:r w:rsidRPr="00301F3C">
        <w:rPr>
          <w:b/>
        </w:rPr>
        <w:t xml:space="preserve">Prosimy o potwierdzenie, iż Udzielający Zamówienia wymaga, aby posiadany przez Przyjmującego Zamówienie Sprzęt, o którym mowa SWKO, Rozdział IV, pkt 6 posiadał </w:t>
      </w:r>
      <w:r>
        <w:rPr>
          <w:b/>
        </w:rPr>
        <w:t>wsparcie autoryzowanego serwisu.</w:t>
      </w:r>
    </w:p>
    <w:p w:rsidR="00301F3C" w:rsidRDefault="00301F3C" w:rsidP="0033309E">
      <w:pPr>
        <w:jc w:val="both"/>
        <w:rPr>
          <w:b/>
        </w:rPr>
      </w:pPr>
    </w:p>
    <w:p w:rsidR="00301F3C" w:rsidRPr="00301F3C" w:rsidRDefault="00301F3C" w:rsidP="00301F3C">
      <w:pPr>
        <w:jc w:val="both"/>
        <w:rPr>
          <w:b/>
        </w:rPr>
      </w:pPr>
      <w:r w:rsidRPr="00301F3C">
        <w:rPr>
          <w:b/>
        </w:rPr>
        <w:t>Odpowiedź:</w:t>
      </w:r>
    </w:p>
    <w:p w:rsidR="00195FF6" w:rsidRDefault="00195FF6" w:rsidP="00301F3C">
      <w:pPr>
        <w:jc w:val="both"/>
      </w:pPr>
      <w:r>
        <w:t xml:space="preserve">Udzielający zamówienia nie wymaga </w:t>
      </w:r>
      <w:r w:rsidR="008A1023">
        <w:t xml:space="preserve">od Oferentów okazania </w:t>
      </w:r>
      <w:r>
        <w:t>dokumentów serwisowych sprzętu.</w:t>
      </w:r>
    </w:p>
    <w:p w:rsidR="008A1023" w:rsidRDefault="008A1023" w:rsidP="00301F3C">
      <w:pPr>
        <w:jc w:val="both"/>
      </w:pPr>
      <w:r>
        <w:t>Udzielający zamówienia podtrzymuje zapis w SWKO, Rozdział IV, pkt 6, który jest wymogiem koniecznym dla Oferentów do realizacji pełnego z</w:t>
      </w:r>
      <w:r w:rsidR="004900F4">
        <w:t>akresu świadczeń objętych ofertą:</w:t>
      </w:r>
    </w:p>
    <w:p w:rsidR="008A1023" w:rsidRPr="008A1023" w:rsidRDefault="008A1023" w:rsidP="00301F3C">
      <w:pPr>
        <w:jc w:val="both"/>
        <w:rPr>
          <w:b/>
          <w:i/>
        </w:rPr>
      </w:pPr>
      <w:r w:rsidRPr="008A1023">
        <w:rPr>
          <w:i/>
        </w:rPr>
        <w:t>„Oferent musi posiadać odpowiednie warunki lokalowe, wyposażenie w aparaturę i sprzęt medyczny zgodny z wymogami przewidzianymi przepisami prawa, które pozwolą na realizację pełnego zakresu świadczeń objętych ofertą.”</w:t>
      </w:r>
    </w:p>
    <w:p w:rsidR="00114261" w:rsidRDefault="00114261" w:rsidP="0033309E">
      <w:pPr>
        <w:jc w:val="both"/>
      </w:pPr>
    </w:p>
    <w:p w:rsidR="008F4F0E" w:rsidRDefault="008F4F0E" w:rsidP="0033309E">
      <w:pPr>
        <w:jc w:val="both"/>
      </w:pPr>
    </w:p>
    <w:p w:rsidR="008F4F0E" w:rsidRDefault="008F4F0E" w:rsidP="0033309E">
      <w:pPr>
        <w:jc w:val="both"/>
      </w:pPr>
    </w:p>
    <w:p w:rsidR="008F4F0E" w:rsidRPr="004900F4" w:rsidRDefault="0010593A" w:rsidP="0033309E">
      <w:pPr>
        <w:jc w:val="both"/>
        <w:rPr>
          <w:b/>
          <w:u w:val="single"/>
        </w:rPr>
      </w:pPr>
      <w:r w:rsidRPr="004900F4">
        <w:rPr>
          <w:b/>
          <w:u w:val="single"/>
        </w:rPr>
        <w:t>Pytanie nr 2</w:t>
      </w:r>
    </w:p>
    <w:p w:rsidR="001A1150" w:rsidRPr="004900F4" w:rsidRDefault="008F4F0E" w:rsidP="0033309E">
      <w:pPr>
        <w:jc w:val="both"/>
        <w:rPr>
          <w:b/>
        </w:rPr>
      </w:pPr>
      <w:r w:rsidRPr="004900F4">
        <w:rPr>
          <w:b/>
        </w:rPr>
        <w:t xml:space="preserve">Bardzo prosimy o informację, czy Udzielający Zamówienia wyrazi zgodę na usunięcie zapisu dotyczącego </w:t>
      </w:r>
      <w:r w:rsidRPr="004900F4">
        <w:rPr>
          <w:b/>
          <w:u w:val="single"/>
        </w:rPr>
        <w:t>wartości referencyjnych</w:t>
      </w:r>
      <w:r w:rsidRPr="004900F4">
        <w:rPr>
          <w:b/>
        </w:rPr>
        <w:t xml:space="preserve"> (Umowa §5 ust. 7) w związku z tym, iż podane wartości nie występują dla badań wskazanych w konkursie ofert.</w:t>
      </w:r>
    </w:p>
    <w:p w:rsidR="008F4F0E" w:rsidRPr="004900F4" w:rsidRDefault="008F4F0E" w:rsidP="0033309E">
      <w:pPr>
        <w:jc w:val="both"/>
        <w:rPr>
          <w:b/>
        </w:rPr>
      </w:pPr>
    </w:p>
    <w:p w:rsidR="008F4F0E" w:rsidRPr="004900F4" w:rsidRDefault="008F4F0E" w:rsidP="008F4F0E">
      <w:pPr>
        <w:jc w:val="both"/>
        <w:rPr>
          <w:b/>
        </w:rPr>
      </w:pPr>
      <w:r w:rsidRPr="004900F4">
        <w:rPr>
          <w:b/>
        </w:rPr>
        <w:t>Odpowiedź:</w:t>
      </w:r>
    </w:p>
    <w:p w:rsidR="008F4F0E" w:rsidRPr="004900F4" w:rsidRDefault="008F4F0E" w:rsidP="008F4F0E">
      <w:pPr>
        <w:jc w:val="both"/>
      </w:pPr>
      <w:r w:rsidRPr="004900F4">
        <w:t>Udzielający</w:t>
      </w:r>
      <w:r w:rsidR="0096562D">
        <w:t xml:space="preserve"> zamówienia</w:t>
      </w:r>
      <w:r w:rsidR="00194EC3" w:rsidRPr="004900F4">
        <w:t xml:space="preserve"> zgadza się na usunięcie zapisu w Umowie w &amp;5 ust. 7 dotyczącego wartości referencyjnych.</w:t>
      </w:r>
    </w:p>
    <w:p w:rsidR="008F4F0E" w:rsidRPr="004900F4" w:rsidRDefault="008F4F0E" w:rsidP="008F4F0E">
      <w:pPr>
        <w:jc w:val="both"/>
      </w:pPr>
    </w:p>
    <w:p w:rsidR="008F4F0E" w:rsidRDefault="008F4F0E" w:rsidP="008F4F0E">
      <w:pPr>
        <w:jc w:val="both"/>
      </w:pPr>
    </w:p>
    <w:p w:rsidR="008F4F0E" w:rsidRDefault="008F4F0E" w:rsidP="008F4F0E">
      <w:pPr>
        <w:jc w:val="both"/>
      </w:pPr>
    </w:p>
    <w:p w:rsidR="0010593A" w:rsidRDefault="0010593A" w:rsidP="008F4F0E">
      <w:pPr>
        <w:jc w:val="both"/>
      </w:pPr>
    </w:p>
    <w:p w:rsidR="0010593A" w:rsidRDefault="0010593A" w:rsidP="008F4F0E">
      <w:pPr>
        <w:jc w:val="both"/>
      </w:pPr>
    </w:p>
    <w:p w:rsidR="0010593A" w:rsidRDefault="0010593A" w:rsidP="008F4F0E">
      <w:pPr>
        <w:jc w:val="both"/>
      </w:pPr>
    </w:p>
    <w:p w:rsidR="0010593A" w:rsidRDefault="0010593A" w:rsidP="008F4F0E">
      <w:pPr>
        <w:jc w:val="both"/>
      </w:pPr>
    </w:p>
    <w:p w:rsidR="0010593A" w:rsidRDefault="0010593A" w:rsidP="008F4F0E">
      <w:pPr>
        <w:jc w:val="both"/>
      </w:pPr>
    </w:p>
    <w:p w:rsidR="0010593A" w:rsidRDefault="0010593A" w:rsidP="008F4F0E">
      <w:pPr>
        <w:jc w:val="both"/>
      </w:pPr>
    </w:p>
    <w:p w:rsidR="0010593A" w:rsidRDefault="0010593A" w:rsidP="008F4F0E">
      <w:pPr>
        <w:jc w:val="both"/>
      </w:pPr>
    </w:p>
    <w:p w:rsidR="0010593A" w:rsidRDefault="0010593A" w:rsidP="008F4F0E">
      <w:pPr>
        <w:jc w:val="both"/>
      </w:pPr>
    </w:p>
    <w:p w:rsidR="0010593A" w:rsidRDefault="0010593A" w:rsidP="008F4F0E">
      <w:pPr>
        <w:jc w:val="both"/>
      </w:pPr>
    </w:p>
    <w:p w:rsidR="0010593A" w:rsidRDefault="0010593A" w:rsidP="008F4F0E">
      <w:pPr>
        <w:jc w:val="both"/>
      </w:pPr>
    </w:p>
    <w:p w:rsidR="008F4F0E" w:rsidRDefault="008F4F0E" w:rsidP="008F4F0E">
      <w:pPr>
        <w:jc w:val="both"/>
      </w:pPr>
    </w:p>
    <w:p w:rsidR="008F4F0E" w:rsidRDefault="008F4F0E" w:rsidP="008F4F0E">
      <w:pPr>
        <w:jc w:val="both"/>
      </w:pPr>
    </w:p>
    <w:p w:rsidR="008F4F0E" w:rsidRPr="004900F4" w:rsidRDefault="0010593A" w:rsidP="008F4F0E">
      <w:pPr>
        <w:jc w:val="both"/>
        <w:rPr>
          <w:b/>
          <w:u w:val="single"/>
        </w:rPr>
      </w:pPr>
      <w:r w:rsidRPr="004900F4">
        <w:rPr>
          <w:b/>
          <w:u w:val="single"/>
        </w:rPr>
        <w:t>Pytanie nr 3</w:t>
      </w:r>
    </w:p>
    <w:p w:rsidR="00301F3C" w:rsidRPr="004900F4" w:rsidRDefault="00301F3C" w:rsidP="00301F3C">
      <w:pPr>
        <w:jc w:val="both"/>
        <w:rPr>
          <w:b/>
        </w:rPr>
      </w:pPr>
      <w:r w:rsidRPr="004900F4">
        <w:rPr>
          <w:b/>
        </w:rPr>
        <w:t xml:space="preserve">Prosimy o informację, czy "MSI - badanie niestabilności </w:t>
      </w:r>
      <w:proofErr w:type="spellStart"/>
      <w:r w:rsidRPr="004900F4">
        <w:rPr>
          <w:b/>
        </w:rPr>
        <w:t>mikrosatelitarnej</w:t>
      </w:r>
      <w:proofErr w:type="spellEnd"/>
      <w:r w:rsidRPr="004900F4">
        <w:rPr>
          <w:b/>
        </w:rPr>
        <w:t xml:space="preserve">" (poz. 6, Załącznik nr 2)  powinno być wykonywane z wykorzystaniem elektroforezy kapilarnej (na </w:t>
      </w:r>
      <w:proofErr w:type="spellStart"/>
      <w:r w:rsidRPr="004900F4">
        <w:rPr>
          <w:b/>
        </w:rPr>
        <w:t>sekwenatorze</w:t>
      </w:r>
      <w:proofErr w:type="spellEnd"/>
      <w:r w:rsidRPr="004900F4">
        <w:rPr>
          <w:b/>
        </w:rPr>
        <w:t xml:space="preserve"> kapilarnym), zgodnie z Zaleceniami Polskiego Towarzystwa Ginekologii Onkologicznej dotyczącymi diagnostyki i leczenia raka endometrium (https://ptgo.pl/archiwa/rekomendacje/</w:t>
      </w:r>
      <w:r w:rsidR="008F4F0E" w:rsidRPr="004900F4">
        <w:rPr>
          <w:b/>
        </w:rPr>
        <w:t xml:space="preserve">zalecenia-polskiego-towarzystwa </w:t>
      </w:r>
      <w:r w:rsidRPr="004900F4">
        <w:rPr>
          <w:b/>
        </w:rPr>
        <w:t>ginekologii</w:t>
      </w:r>
      <w:r w:rsidR="008F4F0E" w:rsidRPr="004900F4">
        <w:rPr>
          <w:b/>
        </w:rPr>
        <w:t xml:space="preserve"> </w:t>
      </w:r>
      <w:r w:rsidRPr="004900F4">
        <w:rPr>
          <w:b/>
        </w:rPr>
        <w:t>-</w:t>
      </w:r>
      <w:r w:rsidR="008F4F0E" w:rsidRPr="004900F4">
        <w:rPr>
          <w:b/>
        </w:rPr>
        <w:t xml:space="preserve"> </w:t>
      </w:r>
      <w:r w:rsidRPr="004900F4">
        <w:rPr>
          <w:b/>
        </w:rPr>
        <w:t>onkologicznej</w:t>
      </w:r>
      <w:r w:rsidR="008F4F0E" w:rsidRPr="004900F4">
        <w:rPr>
          <w:b/>
        </w:rPr>
        <w:t xml:space="preserve"> </w:t>
      </w:r>
      <w:r w:rsidRPr="004900F4">
        <w:rPr>
          <w:b/>
        </w:rPr>
        <w:t>-</w:t>
      </w:r>
      <w:r w:rsidR="008F4F0E" w:rsidRPr="004900F4">
        <w:rPr>
          <w:b/>
        </w:rPr>
        <w:t xml:space="preserve"> dotyczące – </w:t>
      </w:r>
      <w:r w:rsidRPr="004900F4">
        <w:rPr>
          <w:b/>
        </w:rPr>
        <w:t>diagnostyki</w:t>
      </w:r>
      <w:r w:rsidR="008F4F0E" w:rsidRPr="004900F4">
        <w:rPr>
          <w:b/>
        </w:rPr>
        <w:t xml:space="preserve"> – </w:t>
      </w:r>
      <w:r w:rsidRPr="004900F4">
        <w:rPr>
          <w:b/>
        </w:rPr>
        <w:t>i</w:t>
      </w:r>
      <w:r w:rsidR="008F4F0E" w:rsidRPr="004900F4">
        <w:rPr>
          <w:b/>
        </w:rPr>
        <w:t xml:space="preserve"> – </w:t>
      </w:r>
      <w:r w:rsidRPr="004900F4">
        <w:rPr>
          <w:b/>
        </w:rPr>
        <w:t>leczenia</w:t>
      </w:r>
      <w:r w:rsidR="008F4F0E" w:rsidRPr="004900F4">
        <w:rPr>
          <w:b/>
        </w:rPr>
        <w:t xml:space="preserve"> – </w:t>
      </w:r>
      <w:r w:rsidRPr="004900F4">
        <w:rPr>
          <w:b/>
        </w:rPr>
        <w:t>raka</w:t>
      </w:r>
      <w:r w:rsidR="008F4F0E" w:rsidRPr="004900F4">
        <w:rPr>
          <w:b/>
        </w:rPr>
        <w:t xml:space="preserve"> –</w:t>
      </w:r>
      <w:r w:rsidRPr="004900F4">
        <w:rPr>
          <w:b/>
        </w:rPr>
        <w:t>endometrium</w:t>
      </w:r>
      <w:r w:rsidR="008F4F0E" w:rsidRPr="004900F4">
        <w:rPr>
          <w:b/>
        </w:rPr>
        <w:t xml:space="preserve"> </w:t>
      </w:r>
      <w:r w:rsidRPr="004900F4">
        <w:rPr>
          <w:b/>
        </w:rPr>
        <w:t>-</w:t>
      </w:r>
      <w:r w:rsidR="008F4F0E" w:rsidRPr="004900F4">
        <w:rPr>
          <w:b/>
        </w:rPr>
        <w:t xml:space="preserve"> </w:t>
      </w:r>
      <w:r w:rsidRPr="004900F4">
        <w:rPr>
          <w:b/>
        </w:rPr>
        <w:t xml:space="preserve">2023). </w:t>
      </w:r>
    </w:p>
    <w:p w:rsidR="00301F3C" w:rsidRPr="004900F4" w:rsidRDefault="00301F3C" w:rsidP="00301F3C">
      <w:pPr>
        <w:jc w:val="both"/>
        <w:rPr>
          <w:b/>
        </w:rPr>
      </w:pPr>
      <w:r w:rsidRPr="004900F4">
        <w:rPr>
          <w:b/>
        </w:rPr>
        <w:t>Wymóg stosowania się do zaleceń polskich towarzystw naukowych zawarty jest w Zarządzeniu Prezesa Narodowego Funduszu Zdrowia nr 190/2023/DSOZ w uwagach do produktów rozliczeniowych dotyczących badań genetycznych w chorobach nowotworowych:</w:t>
      </w:r>
    </w:p>
    <w:p w:rsidR="00301F3C" w:rsidRPr="004900F4" w:rsidRDefault="00301F3C" w:rsidP="00301F3C">
      <w:pPr>
        <w:jc w:val="both"/>
        <w:rPr>
          <w:b/>
        </w:rPr>
      </w:pPr>
      <w:r w:rsidRPr="004900F4">
        <w:rPr>
          <w:b/>
        </w:rPr>
        <w:t>Katalog produktów do sumowania (załącznik 1)</w:t>
      </w:r>
    </w:p>
    <w:p w:rsidR="00301F3C" w:rsidRPr="004900F4" w:rsidRDefault="00301F3C" w:rsidP="00301F3C">
      <w:pPr>
        <w:jc w:val="both"/>
        <w:rPr>
          <w:b/>
        </w:rPr>
      </w:pPr>
      <w:r w:rsidRPr="004900F4">
        <w:rPr>
          <w:b/>
        </w:rPr>
        <w:t>5.53.01.0005001 Podstawowe badanie genetyczne w chorobach nowotworowych</w:t>
      </w:r>
    </w:p>
    <w:p w:rsidR="00301F3C" w:rsidRPr="004900F4" w:rsidRDefault="00301F3C" w:rsidP="00301F3C">
      <w:pPr>
        <w:jc w:val="both"/>
        <w:rPr>
          <w:b/>
        </w:rPr>
      </w:pPr>
      <w:r w:rsidRPr="004900F4">
        <w:rPr>
          <w:b/>
        </w:rPr>
        <w:t>5.53.01.0005002 Złożone badanie genetyczne w chorobach nowotworowych</w:t>
      </w:r>
    </w:p>
    <w:p w:rsidR="00301F3C" w:rsidRPr="004900F4" w:rsidRDefault="00301F3C" w:rsidP="00301F3C">
      <w:pPr>
        <w:jc w:val="both"/>
        <w:rPr>
          <w:b/>
        </w:rPr>
      </w:pPr>
      <w:r w:rsidRPr="004900F4">
        <w:rPr>
          <w:b/>
        </w:rPr>
        <w:t>5.53.01.0005003 Zaawansowane badanie genetyczne w chorobach nowotworowych</w:t>
      </w:r>
    </w:p>
    <w:p w:rsidR="00301F3C" w:rsidRPr="004900F4" w:rsidRDefault="00301F3C" w:rsidP="00301F3C">
      <w:pPr>
        <w:jc w:val="both"/>
        <w:rPr>
          <w:b/>
        </w:rPr>
      </w:pPr>
      <w:r w:rsidRPr="004900F4">
        <w:rPr>
          <w:b/>
        </w:rPr>
        <w:t>Uwagi:</w:t>
      </w:r>
    </w:p>
    <w:p w:rsidR="001A1150" w:rsidRPr="004900F4" w:rsidRDefault="00301F3C" w:rsidP="00301F3C">
      <w:pPr>
        <w:jc w:val="both"/>
        <w:rPr>
          <w:b/>
        </w:rPr>
      </w:pPr>
      <w:r w:rsidRPr="004900F4">
        <w:rPr>
          <w:b/>
        </w:rPr>
        <w:t>„zgodnie z zaleceniami postępowania diagnostycznego w nowotworach złośliwych rekomendowanymi prz</w:t>
      </w:r>
      <w:r w:rsidR="008F4F0E" w:rsidRPr="004900F4">
        <w:rPr>
          <w:b/>
        </w:rPr>
        <w:t>ez polskie towarzystwa naukowe”</w:t>
      </w:r>
    </w:p>
    <w:p w:rsidR="00301F3C" w:rsidRPr="004900F4" w:rsidRDefault="00301F3C" w:rsidP="00301F3C">
      <w:pPr>
        <w:jc w:val="both"/>
      </w:pPr>
    </w:p>
    <w:p w:rsidR="00301F3C" w:rsidRPr="004900F4" w:rsidRDefault="00301F3C" w:rsidP="00301F3C">
      <w:pPr>
        <w:jc w:val="both"/>
      </w:pPr>
    </w:p>
    <w:p w:rsidR="008F4F0E" w:rsidRPr="004900F4" w:rsidRDefault="008F4F0E" w:rsidP="008F4F0E">
      <w:pPr>
        <w:jc w:val="both"/>
        <w:rPr>
          <w:b/>
        </w:rPr>
      </w:pPr>
      <w:r w:rsidRPr="004900F4">
        <w:rPr>
          <w:b/>
        </w:rPr>
        <w:t>Odpowiedź:</w:t>
      </w:r>
    </w:p>
    <w:p w:rsidR="00301F3C" w:rsidRPr="004900F4" w:rsidRDefault="008F4F0E" w:rsidP="008F4F0E">
      <w:pPr>
        <w:jc w:val="both"/>
      </w:pPr>
      <w:r w:rsidRPr="004900F4">
        <w:t>Udzielający zamówienie</w:t>
      </w:r>
      <w:r w:rsidR="00194EC3" w:rsidRPr="004900F4">
        <w:t xml:space="preserve"> potwierdza wykonanie badania MSI – niestabilności </w:t>
      </w:r>
      <w:proofErr w:type="spellStart"/>
      <w:r w:rsidR="00194EC3" w:rsidRPr="004900F4">
        <w:t>mikrosatelitarnej</w:t>
      </w:r>
      <w:proofErr w:type="spellEnd"/>
      <w:r w:rsidR="007C31B4" w:rsidRPr="004900F4">
        <w:t xml:space="preserve"> </w:t>
      </w:r>
      <w:r w:rsidR="0096562D">
        <w:t xml:space="preserve">           </w:t>
      </w:r>
      <w:r w:rsidR="0096562D" w:rsidRPr="0096562D">
        <w:t xml:space="preserve">(poz. 6, Załącznik nr 2)  </w:t>
      </w:r>
      <w:r w:rsidR="007C31B4" w:rsidRPr="004900F4">
        <w:t xml:space="preserve">z wykorzystaniem elektroforezy kapilarnej (na </w:t>
      </w:r>
      <w:proofErr w:type="spellStart"/>
      <w:r w:rsidR="007C31B4" w:rsidRPr="004900F4">
        <w:t>sekwenatorze</w:t>
      </w:r>
      <w:proofErr w:type="spellEnd"/>
      <w:r w:rsidR="007C31B4" w:rsidRPr="004900F4">
        <w:t xml:space="preserve"> kapilarnym).</w:t>
      </w:r>
    </w:p>
    <w:p w:rsidR="00301F3C" w:rsidRPr="004900F4" w:rsidRDefault="00301F3C" w:rsidP="00301F3C">
      <w:pPr>
        <w:jc w:val="both"/>
      </w:pPr>
    </w:p>
    <w:p w:rsidR="007C31B4" w:rsidRPr="004900F4" w:rsidRDefault="007C31B4" w:rsidP="00301F3C">
      <w:pPr>
        <w:jc w:val="both"/>
      </w:pPr>
    </w:p>
    <w:p w:rsidR="007C31B4" w:rsidRPr="004900F4" w:rsidRDefault="007C31B4" w:rsidP="00301F3C">
      <w:pPr>
        <w:jc w:val="both"/>
      </w:pPr>
    </w:p>
    <w:p w:rsidR="00301F3C" w:rsidRPr="004900F4" w:rsidRDefault="0010593A" w:rsidP="00301F3C">
      <w:pPr>
        <w:jc w:val="both"/>
        <w:rPr>
          <w:b/>
          <w:u w:val="single"/>
        </w:rPr>
      </w:pPr>
      <w:r w:rsidRPr="004900F4">
        <w:rPr>
          <w:b/>
          <w:u w:val="single"/>
        </w:rPr>
        <w:t>Pytanie nr 4</w:t>
      </w:r>
    </w:p>
    <w:p w:rsidR="008F4F0E" w:rsidRPr="004900F4" w:rsidRDefault="008F4F0E" w:rsidP="00301F3C">
      <w:pPr>
        <w:jc w:val="both"/>
        <w:rPr>
          <w:b/>
        </w:rPr>
      </w:pPr>
      <w:r w:rsidRPr="004900F4">
        <w:rPr>
          <w:b/>
        </w:rPr>
        <w:t xml:space="preserve">Prosimy o informację czy Udzielający Zamówienia w przypadku badania „KIT i PDFRA – badanie mutacji (panel GIST)” (poz. 36, Załącznik nr 2) wymaga badania pełnej sekwencji </w:t>
      </w:r>
      <w:proofErr w:type="spellStart"/>
      <w:r w:rsidRPr="004900F4">
        <w:rPr>
          <w:b/>
        </w:rPr>
        <w:t>eksonów</w:t>
      </w:r>
      <w:proofErr w:type="spellEnd"/>
      <w:r w:rsidRPr="004900F4">
        <w:rPr>
          <w:b/>
        </w:rPr>
        <w:t xml:space="preserve"> 9, 11, 13 i 17 w genie KIT oraz 12, 14 i 18 w genie PDGFRA zgodnie z najnowszymi Standardami diagnostyki genetycznej w guzach litych Polskiego Towarzystwa Genetyki Człowieka (4.11. Nowotwór podścieliskowy przewodu pokarmowego (GIST))</w:t>
      </w:r>
    </w:p>
    <w:p w:rsidR="008F4F0E" w:rsidRPr="004900F4" w:rsidRDefault="008F4F0E" w:rsidP="00301F3C">
      <w:pPr>
        <w:jc w:val="both"/>
      </w:pPr>
    </w:p>
    <w:p w:rsidR="008F4F0E" w:rsidRPr="004900F4" w:rsidRDefault="008F4F0E" w:rsidP="00301F3C">
      <w:pPr>
        <w:jc w:val="both"/>
      </w:pPr>
    </w:p>
    <w:p w:rsidR="008F4F0E" w:rsidRPr="004900F4" w:rsidRDefault="008F4F0E" w:rsidP="008F4F0E">
      <w:pPr>
        <w:jc w:val="both"/>
        <w:rPr>
          <w:b/>
        </w:rPr>
      </w:pPr>
      <w:r w:rsidRPr="004900F4">
        <w:rPr>
          <w:b/>
        </w:rPr>
        <w:t>Odpowiedź:</w:t>
      </w:r>
    </w:p>
    <w:p w:rsidR="008F4F0E" w:rsidRPr="004900F4" w:rsidRDefault="008F4F0E" w:rsidP="008F4F0E">
      <w:pPr>
        <w:jc w:val="both"/>
      </w:pPr>
      <w:r w:rsidRPr="004900F4">
        <w:t>Udzielający zamówienie</w:t>
      </w:r>
      <w:r w:rsidR="007C31B4" w:rsidRPr="004900F4">
        <w:t xml:space="preserve"> potwierdza - w przypadku badania „KIT i PDFRA – badanie mutacji (panel GIST)” (poz. 36, Załącznik nr 2) wymagane są badania pełnej sekwencji </w:t>
      </w:r>
      <w:proofErr w:type="spellStart"/>
      <w:r w:rsidR="007C31B4" w:rsidRPr="004900F4">
        <w:t>eksonów</w:t>
      </w:r>
      <w:proofErr w:type="spellEnd"/>
      <w:r w:rsidR="007C31B4" w:rsidRPr="004900F4">
        <w:t xml:space="preserve"> 9, 11, 13 i 17 w genie KIT oraz 12, 14 i 18 w genie PDGFRA</w:t>
      </w:r>
      <w:r w:rsidR="0096562D">
        <w:t>.</w:t>
      </w:r>
      <w:r w:rsidR="007C31B4" w:rsidRPr="004900F4">
        <w:t xml:space="preserve"> </w:t>
      </w:r>
    </w:p>
    <w:p w:rsidR="008F4F0E" w:rsidRDefault="008F4F0E" w:rsidP="00301F3C">
      <w:pPr>
        <w:jc w:val="both"/>
      </w:pPr>
    </w:p>
    <w:p w:rsidR="007C31B4" w:rsidRDefault="007C31B4" w:rsidP="00301F3C">
      <w:pPr>
        <w:jc w:val="both"/>
      </w:pPr>
    </w:p>
    <w:p w:rsidR="007C31B4" w:rsidRDefault="007C31B4" w:rsidP="00301F3C">
      <w:pPr>
        <w:jc w:val="both"/>
      </w:pPr>
    </w:p>
    <w:p w:rsidR="007C31B4" w:rsidRDefault="007C31B4" w:rsidP="00301F3C">
      <w:pPr>
        <w:jc w:val="both"/>
      </w:pPr>
    </w:p>
    <w:p w:rsidR="007C31B4" w:rsidRDefault="007C31B4" w:rsidP="00301F3C">
      <w:pPr>
        <w:jc w:val="both"/>
      </w:pPr>
    </w:p>
    <w:p w:rsidR="0010593A" w:rsidRDefault="0010593A" w:rsidP="00301F3C">
      <w:pPr>
        <w:jc w:val="both"/>
      </w:pPr>
    </w:p>
    <w:p w:rsidR="007C31B4" w:rsidRDefault="007C31B4" w:rsidP="00301F3C">
      <w:pPr>
        <w:jc w:val="both"/>
      </w:pPr>
    </w:p>
    <w:p w:rsidR="007C31B4" w:rsidRDefault="007C31B4" w:rsidP="00301F3C">
      <w:pPr>
        <w:jc w:val="both"/>
      </w:pPr>
    </w:p>
    <w:p w:rsidR="007C31B4" w:rsidRDefault="007C31B4" w:rsidP="00301F3C">
      <w:pPr>
        <w:jc w:val="both"/>
      </w:pPr>
    </w:p>
    <w:p w:rsidR="008F4F0E" w:rsidRPr="004900F4" w:rsidRDefault="0010593A" w:rsidP="00301F3C">
      <w:pPr>
        <w:jc w:val="both"/>
        <w:rPr>
          <w:b/>
          <w:u w:val="single"/>
        </w:rPr>
      </w:pPr>
      <w:r w:rsidRPr="004900F4">
        <w:rPr>
          <w:b/>
          <w:u w:val="single"/>
        </w:rPr>
        <w:t>Pytanie nr 5</w:t>
      </w:r>
    </w:p>
    <w:p w:rsidR="008F4F0E" w:rsidRPr="004900F4" w:rsidRDefault="008F4F0E" w:rsidP="008F4F0E">
      <w:pPr>
        <w:jc w:val="both"/>
        <w:rPr>
          <w:b/>
        </w:rPr>
      </w:pPr>
      <w:r w:rsidRPr="004900F4">
        <w:rPr>
          <w:b/>
        </w:rPr>
        <w:t xml:space="preserve">Prosimy o potwierdzenie, iż Udzielający Zamówienia wymaga, by badanie "PIK3CA – badanie mutacji" (poz. 37, Załącznik nr 2) obejmowało minimum badanie mutacji: C420R, E542K, E545A, E545D, E545G, E545K, Q546E, Q546R, H1047L, H1047R i H1047Y, zgodnie ze wskazaniem Charakterystyki produktu leczniczego – </w:t>
      </w:r>
      <w:proofErr w:type="spellStart"/>
      <w:r w:rsidRPr="004900F4">
        <w:rPr>
          <w:b/>
        </w:rPr>
        <w:t>alpelisib</w:t>
      </w:r>
      <w:proofErr w:type="spellEnd"/>
      <w:r w:rsidRPr="004900F4">
        <w:rPr>
          <w:b/>
        </w:rPr>
        <w:t xml:space="preserve"> i wytycznymi Polskiego Towarzystwa Genetyki Człowieka (PTGC)</w:t>
      </w:r>
    </w:p>
    <w:p w:rsidR="008F4F0E" w:rsidRPr="004900F4" w:rsidRDefault="008F4F0E" w:rsidP="008F4F0E">
      <w:pPr>
        <w:jc w:val="both"/>
      </w:pPr>
    </w:p>
    <w:p w:rsidR="008F4F0E" w:rsidRPr="004900F4" w:rsidRDefault="008F4F0E" w:rsidP="00301F3C">
      <w:pPr>
        <w:jc w:val="both"/>
      </w:pPr>
    </w:p>
    <w:p w:rsidR="008F4F0E" w:rsidRPr="004900F4" w:rsidRDefault="008F4F0E" w:rsidP="008F4F0E">
      <w:pPr>
        <w:jc w:val="both"/>
        <w:rPr>
          <w:b/>
        </w:rPr>
      </w:pPr>
      <w:r w:rsidRPr="004900F4">
        <w:rPr>
          <w:b/>
        </w:rPr>
        <w:t>Odpowiedź:</w:t>
      </w:r>
    </w:p>
    <w:p w:rsidR="008F4F0E" w:rsidRPr="004900F4" w:rsidRDefault="0096562D" w:rsidP="00301F3C">
      <w:pPr>
        <w:jc w:val="both"/>
      </w:pPr>
      <w:r>
        <w:t>Udzielający zamówienia potwierdza, by badanie PIK3CA – badanie mutacji</w:t>
      </w:r>
      <w:r w:rsidR="007C31B4" w:rsidRPr="004900F4">
        <w:t xml:space="preserve"> (poz. 37, Załącznik nr 2) obejmowało minimum badanie mutacji: C420R, E542K, E545A, E545D, E545G, E545K, Q546E, Q546R, H1047L, H1047R i H1047Y</w:t>
      </w:r>
      <w:r>
        <w:t>.</w:t>
      </w:r>
    </w:p>
    <w:p w:rsidR="008F4F0E" w:rsidRPr="004900F4" w:rsidRDefault="008F4F0E" w:rsidP="00301F3C">
      <w:pPr>
        <w:jc w:val="both"/>
      </w:pPr>
    </w:p>
    <w:p w:rsidR="0010593A" w:rsidRPr="004900F4" w:rsidRDefault="0010593A" w:rsidP="00301F3C">
      <w:pPr>
        <w:jc w:val="both"/>
      </w:pPr>
    </w:p>
    <w:p w:rsidR="0010593A" w:rsidRPr="004900F4" w:rsidRDefault="0010593A" w:rsidP="00301F3C">
      <w:pPr>
        <w:jc w:val="both"/>
      </w:pPr>
    </w:p>
    <w:p w:rsidR="008F4F0E" w:rsidRPr="004900F4" w:rsidRDefault="008F4F0E" w:rsidP="00301F3C">
      <w:pPr>
        <w:jc w:val="both"/>
      </w:pPr>
    </w:p>
    <w:p w:rsidR="008F4F0E" w:rsidRPr="004900F4" w:rsidRDefault="0010593A" w:rsidP="00301F3C">
      <w:pPr>
        <w:jc w:val="both"/>
        <w:rPr>
          <w:b/>
          <w:u w:val="single"/>
        </w:rPr>
      </w:pPr>
      <w:r w:rsidRPr="004900F4">
        <w:rPr>
          <w:b/>
          <w:u w:val="single"/>
        </w:rPr>
        <w:t>Pytanie nr 6</w:t>
      </w:r>
    </w:p>
    <w:p w:rsidR="008F4F0E" w:rsidRPr="004900F4" w:rsidRDefault="008F4F0E" w:rsidP="00301F3C">
      <w:pPr>
        <w:jc w:val="both"/>
        <w:rPr>
          <w:b/>
        </w:rPr>
      </w:pPr>
      <w:r w:rsidRPr="004900F4">
        <w:rPr>
          <w:b/>
        </w:rPr>
        <w:t>Prosimy o informację, czy badanie „POLE – badanie mutacji” (poz. 38, Załącznik nr 2) powinno obejmować co najmniej kodony 286, 295, 297, 367, 368, 411, 424, 436, 444, 456, 459, zgodnie ze "Standardami diagnostyki genetycznej w guzach litych PTGC" opublikowanymi na stronie towarzystwa (ptgc.pl)?</w:t>
      </w:r>
    </w:p>
    <w:p w:rsidR="008F4F0E" w:rsidRPr="004900F4" w:rsidRDefault="008F4F0E" w:rsidP="00301F3C">
      <w:pPr>
        <w:jc w:val="both"/>
      </w:pPr>
    </w:p>
    <w:p w:rsidR="008F4F0E" w:rsidRPr="004900F4" w:rsidRDefault="008F4F0E" w:rsidP="008F4F0E">
      <w:pPr>
        <w:jc w:val="both"/>
        <w:rPr>
          <w:b/>
        </w:rPr>
      </w:pPr>
      <w:r w:rsidRPr="004900F4">
        <w:rPr>
          <w:b/>
        </w:rPr>
        <w:t>Odpowiedź:</w:t>
      </w:r>
    </w:p>
    <w:p w:rsidR="008F4F0E" w:rsidRPr="004900F4" w:rsidRDefault="00AC21E4" w:rsidP="008F4F0E">
      <w:pPr>
        <w:jc w:val="both"/>
      </w:pPr>
      <w:r w:rsidRPr="004900F4">
        <w:t>Udzielający zam</w:t>
      </w:r>
      <w:r w:rsidR="0096562D">
        <w:t>ówienia potwierdza, że badanie POLE – badanie mutacji</w:t>
      </w:r>
      <w:r w:rsidRPr="004900F4">
        <w:t xml:space="preserve"> (poz. 38, Załącznik nr 2</w:t>
      </w:r>
      <w:r w:rsidR="0096562D">
        <w:t xml:space="preserve">) powinno obejmować </w:t>
      </w:r>
      <w:r w:rsidRPr="004900F4">
        <w:t>kodony 286, 295, 297, 367, 368</w:t>
      </w:r>
      <w:r w:rsidR="0096562D">
        <w:t>, 411, 424, 436, 444, 456, 459.</w:t>
      </w:r>
    </w:p>
    <w:p w:rsidR="008F4F0E" w:rsidRPr="004900F4" w:rsidRDefault="008F4F0E" w:rsidP="00301F3C">
      <w:pPr>
        <w:jc w:val="both"/>
      </w:pPr>
    </w:p>
    <w:p w:rsidR="00287A45" w:rsidRDefault="00287A45" w:rsidP="00301F3C">
      <w:pPr>
        <w:jc w:val="both"/>
      </w:pPr>
    </w:p>
    <w:p w:rsidR="0010593A" w:rsidRDefault="0010593A" w:rsidP="00301F3C">
      <w:pPr>
        <w:jc w:val="both"/>
      </w:pPr>
    </w:p>
    <w:p w:rsidR="00287A45" w:rsidRDefault="00287A45" w:rsidP="00301F3C">
      <w:pPr>
        <w:jc w:val="both"/>
      </w:pPr>
    </w:p>
    <w:p w:rsidR="008F4F0E" w:rsidRPr="004900F4" w:rsidRDefault="0010593A" w:rsidP="00301F3C">
      <w:pPr>
        <w:jc w:val="both"/>
        <w:rPr>
          <w:b/>
          <w:u w:val="single"/>
        </w:rPr>
      </w:pPr>
      <w:r w:rsidRPr="004900F4">
        <w:rPr>
          <w:b/>
          <w:u w:val="single"/>
        </w:rPr>
        <w:t>Pytanie nr 7</w:t>
      </w:r>
    </w:p>
    <w:p w:rsidR="008F4F0E" w:rsidRPr="004900F4" w:rsidRDefault="00287A45" w:rsidP="00301F3C">
      <w:pPr>
        <w:jc w:val="both"/>
        <w:rPr>
          <w:b/>
        </w:rPr>
      </w:pPr>
      <w:r w:rsidRPr="004900F4">
        <w:rPr>
          <w:b/>
        </w:rPr>
        <w:t>Prosimy o ujednolicenie wymagań dotyczących transportu materiału do badania (SWKO, Rozdział I, pkt 1 oraz Umowa §5 ust. 8)</w:t>
      </w:r>
    </w:p>
    <w:p w:rsidR="008F4F0E" w:rsidRPr="004900F4" w:rsidRDefault="008F4F0E" w:rsidP="00301F3C">
      <w:pPr>
        <w:jc w:val="both"/>
      </w:pPr>
    </w:p>
    <w:p w:rsidR="008F4F0E" w:rsidRPr="004900F4" w:rsidRDefault="008F4F0E" w:rsidP="00301F3C">
      <w:pPr>
        <w:jc w:val="both"/>
      </w:pPr>
    </w:p>
    <w:p w:rsidR="00287A45" w:rsidRPr="004900F4" w:rsidRDefault="00287A45" w:rsidP="00287A45">
      <w:pPr>
        <w:jc w:val="both"/>
        <w:rPr>
          <w:b/>
        </w:rPr>
      </w:pPr>
      <w:r w:rsidRPr="004900F4">
        <w:rPr>
          <w:b/>
        </w:rPr>
        <w:t>Odpowiedź:</w:t>
      </w:r>
    </w:p>
    <w:p w:rsidR="008F4F0E" w:rsidRPr="004900F4" w:rsidRDefault="00AC21E4" w:rsidP="00287A45">
      <w:pPr>
        <w:jc w:val="both"/>
      </w:pPr>
      <w:r w:rsidRPr="004900F4">
        <w:t>Zapis w Umowie w &amp;5 ust.8 otrzymuje takie samo brzmienie jak w SWKO, Rozdział I pkt 1:</w:t>
      </w:r>
    </w:p>
    <w:p w:rsidR="00AC21E4" w:rsidRPr="004900F4" w:rsidRDefault="00AC21E4" w:rsidP="00287A45">
      <w:pPr>
        <w:jc w:val="both"/>
        <w:rPr>
          <w:b/>
        </w:rPr>
      </w:pPr>
      <w:r w:rsidRPr="004900F4">
        <w:rPr>
          <w:b/>
        </w:rPr>
        <w:t>„Koszt transportu materiału do badań ponosi Udzielający zamówienia oraz zapewnia transport do Przyjmującego zamówienie”.</w:t>
      </w:r>
    </w:p>
    <w:p w:rsidR="00AC21E4" w:rsidRPr="00AC21E4" w:rsidRDefault="00AC21E4" w:rsidP="00287A45">
      <w:pPr>
        <w:jc w:val="both"/>
        <w:rPr>
          <w:b/>
        </w:rPr>
      </w:pPr>
    </w:p>
    <w:p w:rsidR="008F4F0E" w:rsidRDefault="008F4F0E" w:rsidP="00301F3C">
      <w:pPr>
        <w:jc w:val="both"/>
      </w:pPr>
    </w:p>
    <w:p w:rsidR="008F4F0E" w:rsidRDefault="008F4F0E" w:rsidP="00301F3C">
      <w:pPr>
        <w:jc w:val="both"/>
      </w:pPr>
    </w:p>
    <w:p w:rsidR="00AC21E4" w:rsidRDefault="00AC21E4" w:rsidP="00301F3C">
      <w:pPr>
        <w:jc w:val="both"/>
      </w:pPr>
    </w:p>
    <w:p w:rsidR="00AC21E4" w:rsidRDefault="00AC21E4" w:rsidP="00301F3C">
      <w:pPr>
        <w:jc w:val="both"/>
      </w:pPr>
    </w:p>
    <w:p w:rsidR="0096562D" w:rsidRDefault="0096562D" w:rsidP="00301F3C">
      <w:pPr>
        <w:jc w:val="both"/>
      </w:pPr>
    </w:p>
    <w:p w:rsidR="0096562D" w:rsidRDefault="0096562D" w:rsidP="00301F3C">
      <w:pPr>
        <w:jc w:val="both"/>
      </w:pPr>
    </w:p>
    <w:p w:rsidR="00AC21E4" w:rsidRDefault="00AC21E4" w:rsidP="00301F3C">
      <w:pPr>
        <w:jc w:val="both"/>
      </w:pPr>
    </w:p>
    <w:p w:rsidR="00AC21E4" w:rsidRDefault="00AC21E4" w:rsidP="00301F3C">
      <w:pPr>
        <w:jc w:val="both"/>
      </w:pPr>
    </w:p>
    <w:p w:rsidR="008F4F0E" w:rsidRPr="004900F4" w:rsidRDefault="0010593A" w:rsidP="00301F3C">
      <w:pPr>
        <w:jc w:val="both"/>
        <w:rPr>
          <w:b/>
          <w:u w:val="single"/>
        </w:rPr>
      </w:pPr>
      <w:r w:rsidRPr="004900F4">
        <w:rPr>
          <w:b/>
          <w:u w:val="single"/>
        </w:rPr>
        <w:lastRenderedPageBreak/>
        <w:t>Pytanie nr 8</w:t>
      </w:r>
    </w:p>
    <w:p w:rsidR="008F4F0E" w:rsidRPr="004900F4" w:rsidRDefault="00287A45" w:rsidP="00301F3C">
      <w:pPr>
        <w:jc w:val="both"/>
        <w:rPr>
          <w:b/>
        </w:rPr>
      </w:pPr>
      <w:r w:rsidRPr="004900F4">
        <w:rPr>
          <w:b/>
        </w:rPr>
        <w:t xml:space="preserve">Prosimy o potwierdzenie, iż w związku z zapisami SWKO, Rozdział 5, pkt 8, </w:t>
      </w:r>
      <w:proofErr w:type="spellStart"/>
      <w:r w:rsidRPr="004900F4">
        <w:rPr>
          <w:b/>
        </w:rPr>
        <w:t>ppkt</w:t>
      </w:r>
      <w:proofErr w:type="spellEnd"/>
      <w:r w:rsidRPr="004900F4">
        <w:rPr>
          <w:b/>
        </w:rPr>
        <w:t xml:space="preserve"> j) i k), Udzielający Zamówienia obligatoryjnie wymaga posiadania i dołączenia do oferty aktualnych certyfikatów tj. z kontroli przeprowadzonej nie wcześniej niż w 2023 roku, potwierdzających pozytywne jej przejście. Ponadto, czy certyfikaty te powinny zawierać informację o zakresie badanych genów lub do certyfikatu powinien być załączony dokument, który takie informacje zawiera, a nie wskazuje jedynie na technikę badania.</w:t>
      </w:r>
    </w:p>
    <w:p w:rsidR="008F4F0E" w:rsidRPr="004900F4" w:rsidRDefault="008F4F0E" w:rsidP="00301F3C">
      <w:pPr>
        <w:jc w:val="both"/>
      </w:pPr>
    </w:p>
    <w:p w:rsidR="00287A45" w:rsidRPr="004900F4" w:rsidRDefault="00287A45" w:rsidP="00287A45">
      <w:pPr>
        <w:jc w:val="both"/>
        <w:rPr>
          <w:b/>
        </w:rPr>
      </w:pPr>
      <w:r w:rsidRPr="004900F4">
        <w:rPr>
          <w:b/>
        </w:rPr>
        <w:t>Odpowiedź:</w:t>
      </w:r>
    </w:p>
    <w:p w:rsidR="008F4F0E" w:rsidRPr="004900F4" w:rsidRDefault="00133592" w:rsidP="00D3599C">
      <w:r w:rsidRPr="004900F4">
        <w:t>Udzielający zamówienia wymaga dołączenia do oferty konkursowej</w:t>
      </w:r>
      <w:r w:rsidR="00D3599C" w:rsidRPr="004900F4">
        <w:t xml:space="preserve"> jedynie </w:t>
      </w:r>
      <w:r w:rsidRPr="004900F4">
        <w:t>aktualnych certyfikatów</w:t>
      </w:r>
      <w:r w:rsidR="00D3599C" w:rsidRPr="004900F4">
        <w:t xml:space="preserve">    (organizacji EMQN lub </w:t>
      </w:r>
      <w:proofErr w:type="spellStart"/>
      <w:r w:rsidR="00D3599C" w:rsidRPr="004900F4">
        <w:t>GenQA</w:t>
      </w:r>
      <w:proofErr w:type="spellEnd"/>
      <w:r w:rsidR="00D3599C" w:rsidRPr="004900F4">
        <w:t xml:space="preserve">) bez dodatkowych dokumentów i informacji o zakresie badanych genów. </w:t>
      </w:r>
    </w:p>
    <w:p w:rsidR="008F4F0E" w:rsidRPr="004900F4" w:rsidRDefault="008F4F0E" w:rsidP="00301F3C">
      <w:pPr>
        <w:jc w:val="both"/>
      </w:pPr>
    </w:p>
    <w:p w:rsidR="00AC21E4" w:rsidRPr="004900F4" w:rsidRDefault="00AC21E4" w:rsidP="00301F3C">
      <w:pPr>
        <w:jc w:val="both"/>
      </w:pPr>
    </w:p>
    <w:p w:rsidR="00D3599C" w:rsidRPr="004900F4" w:rsidRDefault="00D3599C" w:rsidP="00301F3C">
      <w:pPr>
        <w:jc w:val="both"/>
      </w:pPr>
    </w:p>
    <w:p w:rsidR="008F4F0E" w:rsidRPr="004900F4" w:rsidRDefault="0010593A" w:rsidP="00301F3C">
      <w:pPr>
        <w:jc w:val="both"/>
        <w:rPr>
          <w:b/>
          <w:u w:val="single"/>
        </w:rPr>
      </w:pPr>
      <w:r w:rsidRPr="004900F4">
        <w:rPr>
          <w:b/>
          <w:u w:val="single"/>
        </w:rPr>
        <w:t>Pytanie nr 9</w:t>
      </w:r>
    </w:p>
    <w:p w:rsidR="00287A45" w:rsidRPr="004900F4" w:rsidRDefault="00287A45" w:rsidP="00287A45">
      <w:pPr>
        <w:rPr>
          <w:b/>
        </w:rPr>
      </w:pPr>
      <w:r w:rsidRPr="004900F4">
        <w:rPr>
          <w:b/>
        </w:rPr>
        <w:t xml:space="preserve">Uprzejmie prosimy o informację czy zastosowana metoda NGS (poz. 13, Załącznik nr 2) powinna wykrywać zarówno proste mutacje (substytucje, niewielkie delecje, insercje), jak i duże delecje i duplikacje </w:t>
      </w:r>
      <w:proofErr w:type="spellStart"/>
      <w:r w:rsidRPr="004900F4">
        <w:rPr>
          <w:b/>
        </w:rPr>
        <w:t>eksonów</w:t>
      </w:r>
      <w:proofErr w:type="spellEnd"/>
      <w:r w:rsidRPr="004900F4">
        <w:rPr>
          <w:b/>
        </w:rPr>
        <w:t xml:space="preserve"> (CNV) w badanych genach BRCA1 i BRCA2.</w:t>
      </w:r>
    </w:p>
    <w:p w:rsidR="008F4F0E" w:rsidRPr="004900F4" w:rsidRDefault="008F4F0E" w:rsidP="00301F3C">
      <w:pPr>
        <w:jc w:val="both"/>
        <w:rPr>
          <w:b/>
        </w:rPr>
      </w:pPr>
    </w:p>
    <w:p w:rsidR="00287A45" w:rsidRPr="004900F4" w:rsidRDefault="00287A45" w:rsidP="00287A45">
      <w:pPr>
        <w:jc w:val="both"/>
        <w:rPr>
          <w:b/>
        </w:rPr>
      </w:pPr>
      <w:r w:rsidRPr="004900F4">
        <w:rPr>
          <w:b/>
        </w:rPr>
        <w:t>Odpowiedź:</w:t>
      </w:r>
    </w:p>
    <w:p w:rsidR="008F4F0E" w:rsidRPr="004900F4" w:rsidRDefault="00287A45" w:rsidP="00287A45">
      <w:pPr>
        <w:jc w:val="both"/>
      </w:pPr>
      <w:r w:rsidRPr="004900F4">
        <w:t>Udzielający zamówienie</w:t>
      </w:r>
      <w:r w:rsidR="00D3599C" w:rsidRPr="004900F4">
        <w:t xml:space="preserve"> potwierdza, że zastosowana metoda NGS (poz. 13, Załącznik nr 2) powinna wykrywać zarówno proste mutacje (substytucje, niewielkie delecje, insercje), jak i duże delecje i duplikacje </w:t>
      </w:r>
      <w:proofErr w:type="spellStart"/>
      <w:r w:rsidR="00D3599C" w:rsidRPr="004900F4">
        <w:t>eksonów</w:t>
      </w:r>
      <w:proofErr w:type="spellEnd"/>
      <w:r w:rsidR="00D3599C" w:rsidRPr="004900F4">
        <w:t xml:space="preserve"> (CNV) w badanych genach BRCA1 i BRCA2.</w:t>
      </w:r>
    </w:p>
    <w:p w:rsidR="008F4F0E" w:rsidRPr="004900F4" w:rsidRDefault="008F4F0E" w:rsidP="00301F3C">
      <w:pPr>
        <w:jc w:val="both"/>
      </w:pPr>
    </w:p>
    <w:p w:rsidR="00287A45" w:rsidRDefault="00287A45" w:rsidP="00301F3C">
      <w:pPr>
        <w:jc w:val="both"/>
      </w:pPr>
    </w:p>
    <w:p w:rsidR="00D3599C" w:rsidRDefault="00D3599C" w:rsidP="00301F3C">
      <w:pPr>
        <w:jc w:val="both"/>
      </w:pPr>
    </w:p>
    <w:p w:rsidR="00287A45" w:rsidRDefault="00287A45" w:rsidP="00301F3C">
      <w:pPr>
        <w:jc w:val="both"/>
      </w:pPr>
    </w:p>
    <w:p w:rsidR="008F4F0E" w:rsidRPr="004900F4" w:rsidRDefault="0010593A" w:rsidP="00301F3C">
      <w:pPr>
        <w:jc w:val="both"/>
        <w:rPr>
          <w:b/>
          <w:u w:val="single"/>
        </w:rPr>
      </w:pPr>
      <w:r w:rsidRPr="004900F4">
        <w:rPr>
          <w:b/>
          <w:u w:val="single"/>
        </w:rPr>
        <w:t>Pytanie nr 10</w:t>
      </w:r>
    </w:p>
    <w:p w:rsidR="008F4F0E" w:rsidRPr="004900F4" w:rsidRDefault="00287A45" w:rsidP="00301F3C">
      <w:pPr>
        <w:jc w:val="both"/>
        <w:rPr>
          <w:b/>
        </w:rPr>
      </w:pPr>
      <w:r w:rsidRPr="004900F4">
        <w:rPr>
          <w:b/>
        </w:rPr>
        <w:t>Prosimy o weryfikację liczby planowanych badań HRD (poz. 28, Załącznik nr 2), która wydaje się być zawyżona do realnych potrzeb Udzielającego Zamówienie. Badanie to najczęściej wykonywane jest u pacjentek z zaawansowanym rakiem jajnika, u których nie wykryto mutacji BRCA1/BRCA2.</w:t>
      </w:r>
    </w:p>
    <w:p w:rsidR="008F4F0E" w:rsidRPr="004900F4" w:rsidRDefault="008F4F0E" w:rsidP="00301F3C">
      <w:pPr>
        <w:jc w:val="both"/>
        <w:rPr>
          <w:b/>
        </w:rPr>
      </w:pPr>
    </w:p>
    <w:p w:rsidR="008F4F0E" w:rsidRPr="004900F4" w:rsidRDefault="008F4F0E" w:rsidP="00301F3C">
      <w:pPr>
        <w:jc w:val="both"/>
      </w:pPr>
    </w:p>
    <w:p w:rsidR="00287A45" w:rsidRPr="004900F4" w:rsidRDefault="00287A45" w:rsidP="00287A45">
      <w:pPr>
        <w:jc w:val="both"/>
        <w:rPr>
          <w:b/>
        </w:rPr>
      </w:pPr>
      <w:r w:rsidRPr="004900F4">
        <w:rPr>
          <w:b/>
        </w:rPr>
        <w:t>Odpowiedź:</w:t>
      </w:r>
    </w:p>
    <w:p w:rsidR="000A4D2D" w:rsidRPr="004900F4" w:rsidRDefault="000A4D2D" w:rsidP="00287A45">
      <w:pPr>
        <w:jc w:val="both"/>
      </w:pPr>
      <w:r w:rsidRPr="004900F4">
        <w:t>Udzielający zamówienia zmienia zapis w formularzu ofertowym - Załącznik nr 2, w poz. 28 w rubryce</w:t>
      </w:r>
    </w:p>
    <w:p w:rsidR="008F4F0E" w:rsidRPr="004900F4" w:rsidRDefault="000A4D2D" w:rsidP="00287A45">
      <w:pPr>
        <w:jc w:val="both"/>
      </w:pPr>
      <w:r w:rsidRPr="004900F4">
        <w:t xml:space="preserve"> „Spodziewana ilość badań – 20”</w:t>
      </w:r>
    </w:p>
    <w:p w:rsidR="008F4F0E" w:rsidRDefault="008F4F0E" w:rsidP="00301F3C">
      <w:pPr>
        <w:jc w:val="both"/>
      </w:pPr>
    </w:p>
    <w:p w:rsidR="008F4F0E" w:rsidRDefault="008F4F0E" w:rsidP="00301F3C">
      <w:pPr>
        <w:jc w:val="both"/>
      </w:pPr>
    </w:p>
    <w:p w:rsidR="008F4F0E" w:rsidRDefault="008F4F0E" w:rsidP="00301F3C">
      <w:pPr>
        <w:jc w:val="both"/>
      </w:pPr>
    </w:p>
    <w:p w:rsidR="00D3599C" w:rsidRDefault="00D3599C" w:rsidP="00301F3C">
      <w:pPr>
        <w:jc w:val="both"/>
      </w:pPr>
    </w:p>
    <w:p w:rsidR="00D3599C" w:rsidRDefault="00D3599C" w:rsidP="00301F3C">
      <w:pPr>
        <w:jc w:val="both"/>
      </w:pPr>
    </w:p>
    <w:p w:rsidR="00D3599C" w:rsidRDefault="00D3599C" w:rsidP="00301F3C">
      <w:pPr>
        <w:jc w:val="both"/>
      </w:pPr>
    </w:p>
    <w:p w:rsidR="00D3599C" w:rsidRDefault="00D3599C" w:rsidP="00301F3C">
      <w:pPr>
        <w:jc w:val="both"/>
      </w:pPr>
    </w:p>
    <w:p w:rsidR="00D3599C" w:rsidRDefault="00D3599C" w:rsidP="00301F3C">
      <w:pPr>
        <w:jc w:val="both"/>
      </w:pPr>
    </w:p>
    <w:p w:rsidR="00D3599C" w:rsidRDefault="00D3599C" w:rsidP="00301F3C">
      <w:pPr>
        <w:jc w:val="both"/>
      </w:pPr>
    </w:p>
    <w:p w:rsidR="00D3599C" w:rsidRDefault="00D3599C" w:rsidP="00301F3C">
      <w:pPr>
        <w:jc w:val="both"/>
      </w:pPr>
    </w:p>
    <w:p w:rsidR="00D3599C" w:rsidRDefault="00D3599C" w:rsidP="00301F3C">
      <w:pPr>
        <w:jc w:val="both"/>
      </w:pPr>
    </w:p>
    <w:p w:rsidR="00D3599C" w:rsidRDefault="00D3599C" w:rsidP="00301F3C">
      <w:pPr>
        <w:jc w:val="both"/>
      </w:pPr>
    </w:p>
    <w:p w:rsidR="00D3599C" w:rsidRDefault="00D3599C" w:rsidP="00301F3C">
      <w:pPr>
        <w:jc w:val="both"/>
      </w:pPr>
    </w:p>
    <w:p w:rsidR="008F4F0E" w:rsidRPr="004900F4" w:rsidRDefault="0010593A" w:rsidP="00301F3C">
      <w:pPr>
        <w:jc w:val="both"/>
        <w:rPr>
          <w:b/>
          <w:u w:val="single"/>
        </w:rPr>
      </w:pPr>
      <w:r w:rsidRPr="004900F4">
        <w:rPr>
          <w:b/>
          <w:u w:val="single"/>
        </w:rPr>
        <w:t>Pytanie nr 11</w:t>
      </w:r>
    </w:p>
    <w:p w:rsidR="008F4F0E" w:rsidRPr="004900F4" w:rsidRDefault="00287A45" w:rsidP="00301F3C">
      <w:pPr>
        <w:jc w:val="both"/>
        <w:rPr>
          <w:b/>
        </w:rPr>
      </w:pPr>
      <w:r w:rsidRPr="004900F4">
        <w:rPr>
          <w:b/>
        </w:rPr>
        <w:t>Prosimy o informację, czy Udzielający Zamówienia wyrazi zgodę na zmianę zapisów dotyczących maksymalnego czasu oczekiwania na wynik dla badań wykonywanych techniką NGS (poz. 1, 2, 3, 4, 5, 13, 28, Załącznik nr 2) na „15 dni roboczych”, oraz dla badań techniką IHC (poz. 7, 8, 10, 15, Załącznik nr 2) na „10 dni roboczych”. Ze względu na złożoność procedur badawczych i czasochłonność metod stosowanych w badaniach genetycznych, 10 dni roboczych w badaniu techniką NGS może być niewystarczające do uzyskania rzetelnego diagnostycznego wyniku. Zgodnie z wytycznymi Polskiego Towarzystwa Genetyki Człowieka (PTGC), dopuszczalny czas wykonania badania NGS w przypadku guzów litych wynosi 20 dni roboczych.</w:t>
      </w:r>
    </w:p>
    <w:p w:rsidR="008F4F0E" w:rsidRPr="004900F4" w:rsidRDefault="008F4F0E" w:rsidP="00301F3C">
      <w:pPr>
        <w:jc w:val="both"/>
        <w:rPr>
          <w:b/>
        </w:rPr>
      </w:pPr>
    </w:p>
    <w:p w:rsidR="008F4F0E" w:rsidRPr="004900F4" w:rsidRDefault="008F4F0E" w:rsidP="00301F3C">
      <w:pPr>
        <w:jc w:val="both"/>
      </w:pPr>
    </w:p>
    <w:p w:rsidR="00287A45" w:rsidRPr="004900F4" w:rsidRDefault="00287A45" w:rsidP="00287A45">
      <w:pPr>
        <w:jc w:val="both"/>
        <w:rPr>
          <w:b/>
        </w:rPr>
      </w:pPr>
      <w:r w:rsidRPr="004900F4">
        <w:rPr>
          <w:b/>
        </w:rPr>
        <w:t>Odpowiedź:</w:t>
      </w:r>
    </w:p>
    <w:p w:rsidR="00287A45" w:rsidRPr="004900F4" w:rsidRDefault="000A4D2D" w:rsidP="00287A45">
      <w:pPr>
        <w:jc w:val="both"/>
      </w:pPr>
      <w:r w:rsidRPr="004900F4">
        <w:t>Udzielający zamówienia zgadza się na zmianę zapisów dotyczących maksymalnego czasu oczekiwania na wynik dla badań wykonywanych techniką NGS (poz. 1, 2, 3, 4, 5, 13, 28, Załącznik nr 2) na „15 dni roboczych”, oraz dla badań techniką IHC (poz. 7, 8, 10, 15, Załącznik nr 2) na „10 dni roboczych”.</w:t>
      </w:r>
    </w:p>
    <w:p w:rsidR="00287A45" w:rsidRPr="004900F4" w:rsidRDefault="00287A45" w:rsidP="00301F3C">
      <w:pPr>
        <w:jc w:val="both"/>
      </w:pPr>
    </w:p>
    <w:p w:rsidR="00287A45" w:rsidRPr="004900F4" w:rsidRDefault="00287A45" w:rsidP="00301F3C">
      <w:pPr>
        <w:jc w:val="both"/>
      </w:pPr>
    </w:p>
    <w:p w:rsidR="00287A45" w:rsidRPr="004900F4" w:rsidRDefault="00287A45" w:rsidP="00301F3C">
      <w:pPr>
        <w:jc w:val="both"/>
      </w:pPr>
    </w:p>
    <w:p w:rsidR="00287A45" w:rsidRPr="004900F4" w:rsidRDefault="0010593A" w:rsidP="00297FDD">
      <w:pPr>
        <w:jc w:val="both"/>
        <w:rPr>
          <w:b/>
          <w:u w:val="single"/>
        </w:rPr>
      </w:pPr>
      <w:r w:rsidRPr="004900F4">
        <w:rPr>
          <w:b/>
          <w:u w:val="single"/>
        </w:rPr>
        <w:t>Pytanie nr 12</w:t>
      </w:r>
    </w:p>
    <w:p w:rsidR="00287A45" w:rsidRPr="004900F4" w:rsidRDefault="00287A45" w:rsidP="00297FDD">
      <w:pPr>
        <w:jc w:val="both"/>
        <w:rPr>
          <w:b/>
        </w:rPr>
      </w:pPr>
      <w:r w:rsidRPr="004900F4">
        <w:rPr>
          <w:b/>
        </w:rPr>
        <w:t>Prosimy o informację, czy panel wykonywany techniką NGS w poz. 1, Załącznika nr 2 powinien obejmować badanie mutacji genów: AKT1, ALK, APC, AR, ATRX, BRAF, CDK4, CDK6, CDKN2A, CTNNB1, DDR2, EGFR, ERBB2, ERBB3, ERBB4, ESR1, FBXW7, FGFR1, FGFR2, FGFR3, FOXL2, GNA11, GNAQ, GNAS, H3F3A, HIST1H3B, HRAS, IDH1, IDH2, JAK2, KIT, KRAS, MAP2K1, MAP2K2, MET, MTOR, MYC, NOTCH1, NOTCH2, NOTCH3, NOTCH4, NRAS, NTRK1, NTRK2, NTRK3, PDGFRA, PIK3CA, POLD1, POLE, PTEN, RAF1, RB1, RET, RICTOR, ROS1, SMAD4, SMO, TERT, TP53, VHL oraz MSI.</w:t>
      </w:r>
    </w:p>
    <w:p w:rsidR="00287A45" w:rsidRPr="004900F4" w:rsidRDefault="00287A45" w:rsidP="00301F3C">
      <w:pPr>
        <w:jc w:val="both"/>
        <w:rPr>
          <w:b/>
        </w:rPr>
      </w:pPr>
    </w:p>
    <w:p w:rsidR="00287A45" w:rsidRPr="004900F4" w:rsidRDefault="00287A45" w:rsidP="00301F3C">
      <w:pPr>
        <w:jc w:val="both"/>
        <w:rPr>
          <w:b/>
        </w:rPr>
      </w:pPr>
    </w:p>
    <w:p w:rsidR="00287A45" w:rsidRPr="004900F4" w:rsidRDefault="00287A45" w:rsidP="00287A45">
      <w:pPr>
        <w:jc w:val="both"/>
        <w:rPr>
          <w:b/>
        </w:rPr>
      </w:pPr>
      <w:r w:rsidRPr="004900F4">
        <w:rPr>
          <w:b/>
        </w:rPr>
        <w:t>Odpowiedź:</w:t>
      </w:r>
    </w:p>
    <w:p w:rsidR="00287A45" w:rsidRPr="004900F4" w:rsidRDefault="00D3599C" w:rsidP="00287A45">
      <w:pPr>
        <w:jc w:val="both"/>
      </w:pPr>
      <w:r w:rsidRPr="004900F4">
        <w:t>Udzielaj</w:t>
      </w:r>
      <w:r w:rsidR="00297FDD" w:rsidRPr="004900F4">
        <w:t>ący zamówienia potwierdza, że panel wykonywany techniką NGS w poz. 1, Załącznika nr 2 powinien obejmować badanie mutacji genów: AKT1, ALK, APC, AR, ATRX, BRAF, CDK4, CDK6, CDKN2A, CTNNB1, DDR2, EGFR, ERBB2, ERBB3, ERBB4, ESR1, FBXW7, FGFR1, FGFR2, FGFR3, FOXL2, GNA11, GNAQ, GNAS, H3F3A, HIST1H3B, HRAS, IDH1, IDH2, JAK2, KIT, KRAS, MAP2K1, MAP2K2, MET, MTOR, MYC, NOTCH1, NOTCH2, NOTCH3, NOTCH4, NRAS, NTRK1, NTRK2, NTRK3, PDGFRA, PIK3CA, POLD1, POLE, PTEN, RAF1, RB1, RET, RICTOR, ROS1, SMAD4, SMO, TERT, TP53, VHL oraz MSI.</w:t>
      </w:r>
    </w:p>
    <w:p w:rsidR="00297FDD" w:rsidRPr="004900F4" w:rsidRDefault="00297FDD" w:rsidP="00287A45">
      <w:pPr>
        <w:jc w:val="both"/>
      </w:pPr>
    </w:p>
    <w:p w:rsidR="00287A45" w:rsidRDefault="00287A45" w:rsidP="00301F3C">
      <w:pPr>
        <w:jc w:val="both"/>
      </w:pPr>
    </w:p>
    <w:p w:rsidR="00287A45" w:rsidRDefault="00287A45" w:rsidP="00301F3C">
      <w:pPr>
        <w:jc w:val="both"/>
      </w:pPr>
    </w:p>
    <w:p w:rsidR="00287A45" w:rsidRDefault="00287A45" w:rsidP="00301F3C">
      <w:pPr>
        <w:jc w:val="both"/>
      </w:pPr>
    </w:p>
    <w:p w:rsidR="00287A45" w:rsidRDefault="00287A45" w:rsidP="00301F3C">
      <w:pPr>
        <w:jc w:val="both"/>
      </w:pPr>
    </w:p>
    <w:p w:rsidR="00287A45" w:rsidRDefault="00287A45" w:rsidP="00301F3C">
      <w:pPr>
        <w:jc w:val="both"/>
      </w:pPr>
    </w:p>
    <w:p w:rsidR="00287A45" w:rsidRDefault="00287A45" w:rsidP="00301F3C">
      <w:pPr>
        <w:jc w:val="both"/>
      </w:pPr>
    </w:p>
    <w:p w:rsidR="00287A45" w:rsidRDefault="00287A45" w:rsidP="00301F3C">
      <w:pPr>
        <w:jc w:val="both"/>
      </w:pPr>
    </w:p>
    <w:p w:rsidR="00287A45" w:rsidRDefault="00287A45" w:rsidP="00301F3C">
      <w:pPr>
        <w:jc w:val="both"/>
      </w:pPr>
    </w:p>
    <w:p w:rsidR="008F4F0E" w:rsidRDefault="008F4F0E" w:rsidP="00301F3C">
      <w:pPr>
        <w:jc w:val="both"/>
      </w:pPr>
    </w:p>
    <w:p w:rsidR="008F4F0E" w:rsidRDefault="008F4F0E" w:rsidP="00301F3C">
      <w:pPr>
        <w:jc w:val="both"/>
      </w:pPr>
    </w:p>
    <w:p w:rsidR="008F4F0E" w:rsidRDefault="008F4F0E" w:rsidP="00301F3C">
      <w:pPr>
        <w:jc w:val="both"/>
      </w:pPr>
    </w:p>
    <w:p w:rsidR="008F4F0E" w:rsidRPr="004900F4" w:rsidRDefault="0010593A" w:rsidP="00301F3C">
      <w:pPr>
        <w:jc w:val="both"/>
        <w:rPr>
          <w:b/>
          <w:u w:val="single"/>
        </w:rPr>
      </w:pPr>
      <w:r w:rsidRPr="004900F4">
        <w:rPr>
          <w:b/>
          <w:u w:val="single"/>
        </w:rPr>
        <w:lastRenderedPageBreak/>
        <w:t>Pytanie nr 13</w:t>
      </w:r>
    </w:p>
    <w:p w:rsidR="00287A45" w:rsidRPr="004900F4" w:rsidRDefault="00287A45" w:rsidP="00287A45">
      <w:pPr>
        <w:jc w:val="both"/>
        <w:rPr>
          <w:b/>
        </w:rPr>
      </w:pPr>
      <w:r w:rsidRPr="004900F4">
        <w:rPr>
          <w:b/>
        </w:rPr>
        <w:t xml:space="preserve">Prosimy o informację, czy panel wykonywany techniką NGS w poz. 2, Załącznika nr 2 powinien obejmować: </w:t>
      </w:r>
    </w:p>
    <w:p w:rsidR="00287A45" w:rsidRPr="004900F4" w:rsidRDefault="00287A45" w:rsidP="00287A45">
      <w:pPr>
        <w:jc w:val="both"/>
        <w:rPr>
          <w:b/>
        </w:rPr>
      </w:pPr>
    </w:p>
    <w:p w:rsidR="00287A45" w:rsidRPr="004900F4" w:rsidRDefault="00287A45" w:rsidP="00287A45">
      <w:pPr>
        <w:jc w:val="both"/>
        <w:rPr>
          <w:b/>
        </w:rPr>
      </w:pPr>
      <w:r w:rsidRPr="004900F4">
        <w:rPr>
          <w:b/>
        </w:rPr>
        <w:t>•</w:t>
      </w:r>
      <w:r w:rsidRPr="004900F4">
        <w:rPr>
          <w:b/>
        </w:rPr>
        <w:tab/>
        <w:t xml:space="preserve">weryfikację obecności </w:t>
      </w:r>
      <w:proofErr w:type="spellStart"/>
      <w:r w:rsidRPr="004900F4">
        <w:rPr>
          <w:b/>
        </w:rPr>
        <w:t>rearanżacji</w:t>
      </w:r>
      <w:proofErr w:type="spellEnd"/>
      <w:r w:rsidRPr="004900F4">
        <w:rPr>
          <w:b/>
        </w:rPr>
        <w:t xml:space="preserve"> genów: AKT1, ALK, AXL, BRAF, BRD3, BRD4, DNAJB1, EGFR, ERBB2, ERBB4, ERG, ESR1, FGFR1, FGFR2, FGFR3, KIT, LTK, MAP2K1, MAP3K3, MAP3K8, MET, MYB, MYBL1, NRG1, NTRK1, NTRK2, NTRK3, NUTM1, PAX8, PDGFRA, PIK3CA, PPARG, PRKCA, PRKCB, RAF1, RET, ROS1, TMPRSS2, TRIM11;</w:t>
      </w:r>
    </w:p>
    <w:p w:rsidR="00287A45" w:rsidRPr="004900F4" w:rsidRDefault="00287A45" w:rsidP="00287A45">
      <w:pPr>
        <w:jc w:val="both"/>
        <w:rPr>
          <w:b/>
        </w:rPr>
      </w:pPr>
      <w:r w:rsidRPr="004900F4">
        <w:rPr>
          <w:b/>
        </w:rPr>
        <w:t>oraz</w:t>
      </w:r>
    </w:p>
    <w:p w:rsidR="008F4F0E" w:rsidRPr="004900F4" w:rsidRDefault="00287A45" w:rsidP="00287A45">
      <w:pPr>
        <w:jc w:val="both"/>
        <w:rPr>
          <w:b/>
        </w:rPr>
      </w:pPr>
      <w:r w:rsidRPr="004900F4">
        <w:rPr>
          <w:b/>
        </w:rPr>
        <w:t>•</w:t>
      </w:r>
      <w:r w:rsidRPr="004900F4">
        <w:rPr>
          <w:b/>
        </w:rPr>
        <w:tab/>
        <w:t>weryfikację obecności mutacji w genach: AKT1, ALK, BRAF, CTNNB1, CYSLTR2, DDR2, EGFR, ERBB2, ERBB4, ESR1, FGFR1, FGFR2, FGFR3, GNA11, GNAQ, GNAS, H3F3A, HIST1H3B, HRAS, IDH1, IDH2, KEAP1, KIT, KRAS, MAP2K1, MET, NRAS, NTRK1, NTRK2, NTRK3, PDGFRA, PIK3CA, POLD1, POLE, RET, ROS1, STK11, TP53;</w:t>
      </w:r>
    </w:p>
    <w:p w:rsidR="00287A45" w:rsidRPr="004900F4" w:rsidRDefault="00287A45" w:rsidP="00301F3C">
      <w:pPr>
        <w:jc w:val="both"/>
      </w:pPr>
    </w:p>
    <w:p w:rsidR="00287A45" w:rsidRPr="004900F4" w:rsidRDefault="00287A45" w:rsidP="00301F3C">
      <w:pPr>
        <w:jc w:val="both"/>
      </w:pPr>
    </w:p>
    <w:p w:rsidR="004C7A5F" w:rsidRPr="004900F4" w:rsidRDefault="004C7A5F" w:rsidP="00301F3C">
      <w:pPr>
        <w:jc w:val="both"/>
      </w:pPr>
    </w:p>
    <w:p w:rsidR="004C7A5F" w:rsidRPr="004900F4" w:rsidRDefault="004C7A5F" w:rsidP="00301F3C">
      <w:pPr>
        <w:jc w:val="both"/>
      </w:pPr>
    </w:p>
    <w:p w:rsidR="00287A45" w:rsidRPr="004900F4" w:rsidRDefault="00287A45" w:rsidP="00287A45">
      <w:pPr>
        <w:jc w:val="both"/>
        <w:rPr>
          <w:b/>
        </w:rPr>
      </w:pPr>
      <w:r w:rsidRPr="004900F4">
        <w:rPr>
          <w:b/>
        </w:rPr>
        <w:t>Odpowiedź:</w:t>
      </w:r>
    </w:p>
    <w:p w:rsidR="004C7A5F" w:rsidRPr="004900F4" w:rsidRDefault="004C7A5F" w:rsidP="004C7A5F">
      <w:pPr>
        <w:jc w:val="both"/>
      </w:pPr>
      <w:r w:rsidRPr="004900F4">
        <w:t xml:space="preserve">Udzielający zamówienia potwierdza, że panel wykonywany techniką NGS w poz. 2, Załącznika nr 2 obejmuje: </w:t>
      </w:r>
    </w:p>
    <w:p w:rsidR="004C7A5F" w:rsidRPr="004900F4" w:rsidRDefault="004C7A5F" w:rsidP="004C7A5F">
      <w:pPr>
        <w:jc w:val="both"/>
      </w:pPr>
    </w:p>
    <w:p w:rsidR="004C7A5F" w:rsidRPr="004900F4" w:rsidRDefault="004C7A5F" w:rsidP="004C7A5F">
      <w:pPr>
        <w:jc w:val="both"/>
      </w:pPr>
      <w:r w:rsidRPr="004900F4">
        <w:t>•</w:t>
      </w:r>
      <w:r w:rsidRPr="004900F4">
        <w:tab/>
        <w:t xml:space="preserve">weryfikację obecności </w:t>
      </w:r>
      <w:proofErr w:type="spellStart"/>
      <w:r w:rsidRPr="004900F4">
        <w:t>rearanżacji</w:t>
      </w:r>
      <w:proofErr w:type="spellEnd"/>
      <w:r w:rsidRPr="004900F4">
        <w:t xml:space="preserve"> genów: AKT1, ALK, AXL, BRAF, BRD3, BRD4, DNAJB1, EGFR, ERBB2, ERBB4, ERG, ESR1, FGFR1, FGFR2, FGFR3, KIT, LTK, MAP2K1, MAP3K3, MAP3K8, MET, MYB, MYBL1, NRG1, NTRK1, NTRK2, NTRK3, NUTM1, PAX8, PDGFRA, PIK3CA, PPARG, PRKCA, PRKCB, RAF1, RET, ROS1, TMPRSS2, TRIM11;</w:t>
      </w:r>
    </w:p>
    <w:p w:rsidR="004C7A5F" w:rsidRPr="004900F4" w:rsidRDefault="004C7A5F" w:rsidP="004C7A5F">
      <w:pPr>
        <w:jc w:val="both"/>
      </w:pPr>
      <w:r w:rsidRPr="004900F4">
        <w:t>oraz</w:t>
      </w:r>
    </w:p>
    <w:p w:rsidR="00287A45" w:rsidRPr="004900F4" w:rsidRDefault="004C7A5F" w:rsidP="004C7A5F">
      <w:pPr>
        <w:jc w:val="both"/>
      </w:pPr>
      <w:r w:rsidRPr="004900F4">
        <w:t>•</w:t>
      </w:r>
      <w:r w:rsidRPr="004900F4">
        <w:tab/>
        <w:t>weryfikację obecności mutacji w genach: AKT1, ALK, BRAF, CTNNB1, CYSLTR2, DDR2, EGFR, ERBB2, ERBB4, ESR1, FGFR1, FGFR2, FGFR3, GNA11, GNAQ, GNAS, H3F3A, HIST1H3B, HRAS, IDH1, IDH2, KEAP1, KIT, KRAS, MAP2K1, MET, NRAS, NTRK1, NTRK2, NTRK3, PDGFRA, PIK3CA, POLD1, POLE, RET, ROS1, STK11, TP53;</w:t>
      </w:r>
    </w:p>
    <w:p w:rsidR="00287A45" w:rsidRPr="004C7A5F" w:rsidRDefault="00287A45" w:rsidP="00301F3C">
      <w:pPr>
        <w:jc w:val="both"/>
        <w:rPr>
          <w:color w:val="FF0000"/>
        </w:rPr>
      </w:pPr>
    </w:p>
    <w:p w:rsidR="00287A45" w:rsidRDefault="00287A45" w:rsidP="00301F3C">
      <w:pPr>
        <w:jc w:val="both"/>
      </w:pPr>
    </w:p>
    <w:p w:rsidR="004C7A5F" w:rsidRDefault="004C7A5F" w:rsidP="00301F3C">
      <w:pPr>
        <w:jc w:val="both"/>
      </w:pPr>
    </w:p>
    <w:p w:rsidR="004C7A5F" w:rsidRDefault="004C7A5F" w:rsidP="00301F3C">
      <w:pPr>
        <w:jc w:val="both"/>
      </w:pPr>
    </w:p>
    <w:p w:rsidR="004C7A5F" w:rsidRDefault="004C7A5F" w:rsidP="00301F3C">
      <w:pPr>
        <w:jc w:val="both"/>
      </w:pPr>
    </w:p>
    <w:p w:rsidR="004C7A5F" w:rsidRDefault="004C7A5F" w:rsidP="00301F3C">
      <w:pPr>
        <w:jc w:val="both"/>
      </w:pPr>
    </w:p>
    <w:p w:rsidR="004C7A5F" w:rsidRDefault="004C7A5F" w:rsidP="00301F3C">
      <w:pPr>
        <w:jc w:val="both"/>
      </w:pPr>
    </w:p>
    <w:p w:rsidR="004C7A5F" w:rsidRDefault="004C7A5F" w:rsidP="00301F3C">
      <w:pPr>
        <w:jc w:val="both"/>
      </w:pPr>
    </w:p>
    <w:p w:rsidR="004C7A5F" w:rsidRDefault="004C7A5F" w:rsidP="00301F3C">
      <w:pPr>
        <w:jc w:val="both"/>
      </w:pPr>
    </w:p>
    <w:p w:rsidR="004C7A5F" w:rsidRDefault="004C7A5F" w:rsidP="00301F3C">
      <w:pPr>
        <w:jc w:val="both"/>
      </w:pPr>
    </w:p>
    <w:p w:rsidR="004C7A5F" w:rsidRDefault="004C7A5F" w:rsidP="00301F3C">
      <w:pPr>
        <w:jc w:val="both"/>
      </w:pPr>
    </w:p>
    <w:p w:rsidR="004C7A5F" w:rsidRDefault="004C7A5F" w:rsidP="00301F3C">
      <w:pPr>
        <w:jc w:val="both"/>
      </w:pPr>
    </w:p>
    <w:p w:rsidR="004C7A5F" w:rsidRDefault="004C7A5F" w:rsidP="00301F3C">
      <w:pPr>
        <w:jc w:val="both"/>
      </w:pPr>
    </w:p>
    <w:p w:rsidR="004C7A5F" w:rsidRDefault="004C7A5F" w:rsidP="00301F3C">
      <w:pPr>
        <w:jc w:val="both"/>
      </w:pPr>
    </w:p>
    <w:p w:rsidR="0096562D" w:rsidRDefault="0096562D" w:rsidP="00301F3C">
      <w:pPr>
        <w:jc w:val="both"/>
      </w:pPr>
    </w:p>
    <w:p w:rsidR="0096562D" w:rsidRDefault="0096562D" w:rsidP="00301F3C">
      <w:pPr>
        <w:jc w:val="both"/>
      </w:pPr>
    </w:p>
    <w:p w:rsidR="0096562D" w:rsidRDefault="0096562D" w:rsidP="00301F3C">
      <w:pPr>
        <w:jc w:val="both"/>
      </w:pPr>
    </w:p>
    <w:p w:rsidR="004C7A5F" w:rsidRDefault="004C7A5F" w:rsidP="00301F3C">
      <w:pPr>
        <w:jc w:val="both"/>
      </w:pPr>
    </w:p>
    <w:p w:rsidR="004C7A5F" w:rsidRDefault="004C7A5F" w:rsidP="00301F3C">
      <w:pPr>
        <w:jc w:val="both"/>
      </w:pPr>
    </w:p>
    <w:p w:rsidR="00287A45" w:rsidRPr="004900F4" w:rsidRDefault="0010593A" w:rsidP="00301F3C">
      <w:pPr>
        <w:jc w:val="both"/>
        <w:rPr>
          <w:b/>
          <w:u w:val="single"/>
        </w:rPr>
      </w:pPr>
      <w:r w:rsidRPr="004900F4">
        <w:rPr>
          <w:b/>
          <w:u w:val="single"/>
        </w:rPr>
        <w:t>Pytanie nr 14</w:t>
      </w:r>
    </w:p>
    <w:p w:rsidR="00287A45" w:rsidRPr="004900F4" w:rsidRDefault="00287A45" w:rsidP="00301F3C">
      <w:pPr>
        <w:jc w:val="both"/>
      </w:pPr>
      <w:r w:rsidRPr="004900F4">
        <w:rPr>
          <w:b/>
        </w:rPr>
        <w:t xml:space="preserve">Prosimy o informację, czy panel wykonywany techniką NGS w poz. 3, Załącznika nr 2 powinien obejmować weryfikację obecności mutacji </w:t>
      </w:r>
      <w:proofErr w:type="spellStart"/>
      <w:r w:rsidRPr="004900F4">
        <w:rPr>
          <w:b/>
        </w:rPr>
        <w:t>rearanżacji</w:t>
      </w:r>
      <w:proofErr w:type="spellEnd"/>
      <w:r w:rsidRPr="004900F4">
        <w:rPr>
          <w:b/>
        </w:rPr>
        <w:t xml:space="preserve"> genów: ACVR2A, AKT1, AKT2, AKT3, ALK, AR, ARHGAP26, ARHGAP6, AXL, BCOR, BRAF, BRD3, BRD4, CAMTA1, CCNB3, CCND1, CD274, CIC, CRTC1, CSF1, CSF1R, CTNNB1, DNAJB1, EGF, EGFR, EPC1, ERBB2, ERBB4, ERG, ESR1, ESRRA, ETV1, ETV4, ETV5, ETV6, EWSR1, FGF1, FGFR1, FGFR2, FGFR3, FGR, FOS, FOSB, FOXO1, FOXO4, FOXR2, FUS, GLI1, GRB7, HMGA2, HRAS, IDH1, IDH2, IGF1R, INSR, JAK2, JAK3, JAZF1, KIT, KRAS, MAML2, MAP2K1, MAST1, MAST2, MBTD1, MDM2, MEAF6, MET, MGEA5, MKL2, MN1, MSMB, MUSK, MYB, MYBL1, MYC, MYOD1, NCOA1, NCOA2, NCOA3, NFATC2, NFE2L2, NFIB, NOTCH1, NOTCH2, NR4A3, NRAS, NRG1, NTRK1, NTRK2, NTRK3, NUMBL, NUTM1, PAX3, PAX8, PDGFB, PDGFD, PDGFRA, PDGFRB, PHF1, PHKB, PIK3CA, PKN1, PLAG1, PPARG, PRDM10, PRKACA, PRKACB, PRKCA, PRKCB, PRKCD, PRKD1, PRKD2, PRKD3, RAD51B, RAF1, RELA, RET, ROS1, RSPO2, RSPO3, SS18, SS18L1, STAT6, TAF15, TCF12, TERT, TFE3, TFEB, TFG, THADA, TMPRSS2, USP6, VGLL2, WWTR1, YAP1, YWHAE</w:t>
      </w:r>
      <w:r w:rsidRPr="004900F4">
        <w:t>.</w:t>
      </w:r>
    </w:p>
    <w:p w:rsidR="00287A45" w:rsidRPr="004900F4" w:rsidRDefault="00287A45" w:rsidP="00301F3C">
      <w:pPr>
        <w:jc w:val="both"/>
      </w:pPr>
    </w:p>
    <w:p w:rsidR="00287A45" w:rsidRPr="004900F4" w:rsidRDefault="00287A45" w:rsidP="00301F3C">
      <w:pPr>
        <w:jc w:val="both"/>
      </w:pPr>
    </w:p>
    <w:p w:rsidR="00287A45" w:rsidRPr="004900F4" w:rsidRDefault="00287A45" w:rsidP="00287A45">
      <w:pPr>
        <w:jc w:val="both"/>
        <w:rPr>
          <w:b/>
        </w:rPr>
      </w:pPr>
      <w:r w:rsidRPr="004900F4">
        <w:rPr>
          <w:b/>
        </w:rPr>
        <w:t>Odpowiedź:</w:t>
      </w:r>
    </w:p>
    <w:p w:rsidR="00287A45" w:rsidRPr="004900F4" w:rsidRDefault="004C7A5F" w:rsidP="00287A45">
      <w:pPr>
        <w:jc w:val="both"/>
      </w:pPr>
      <w:r w:rsidRPr="004900F4">
        <w:t xml:space="preserve">Udzielający zamówienia potwierdza, że panel wykonywany techniką NGS w poz. 3, Załącznika nr 2 obejmuje weryfikację obecności mutacji </w:t>
      </w:r>
      <w:proofErr w:type="spellStart"/>
      <w:r w:rsidRPr="004900F4">
        <w:t>rearanżacji</w:t>
      </w:r>
      <w:proofErr w:type="spellEnd"/>
      <w:r w:rsidRPr="004900F4">
        <w:t xml:space="preserve"> genów: ACVR2A, AKT1, AKT2, AKT3, ALK, AR, ARHGAP26, ARHGAP6, AXL, BCOR, BRAF, BRD3, BRD4, CAMTA1, CCNB3, CCND1, CD274, CIC, CRTC1, CSF1, CSF1R, CTNNB1, DNAJB1, EGF, EGFR, EPC1, ERBB2, ERBB4, ERG, ESR1, ESRRA, ETV1, ETV4, ETV5, ETV6, EWSR1, FGF1, FGFR1, FGFR2, FGFR3, FGR, FOS, FOSB, FOXO1, FOXO4, FOXR2, FUS, GLI1, GRB7, HMGA2, HRAS, IDH1, IDH2, IGF1R, INSR, JAK2, JAK3, JAZF1, KIT, KRAS, MAML2, MAP2K1, MAST1, MAST2, MBTD1, MDM2, MEAF6, MET, MGEA5, MKL2, MN1, MSMB, MUSK, MYB, MYBL1, MYC, MYOD1, NCOA1, NCOA2, NCOA3, NFATC2, NFE2L2, NFIB, NOTCH1, NOTCH2, NR4A3, NRAS, NRG1, NTRK1, NTRK2, NTRK3, NUMBL, NUTM1, PAX3, PAX8, PDGFB, PDGFD, PDGFRA, PDGFRB, PHF1, PHKB, PIK3CA, PKN1, PLAG1, PPARG, PRDM10, PRKACA, PRKACB, PRKCA, PRKCB, PRKCD, PRKD1, PRKD2, PRKD3, RAD51B, RAF1, RELA, RET, ROS1, RSPO2, RSPO3, SS18, SS18L1, STAT6, TAF15, TCF12, TERT, TFE3, TFEB, TFG, THADA, TMPRSS2, USP6, VGLL2, WWTR1, YAP1, YWHAE.</w:t>
      </w:r>
    </w:p>
    <w:p w:rsidR="00287A45" w:rsidRPr="004900F4" w:rsidRDefault="00287A45" w:rsidP="00301F3C">
      <w:pPr>
        <w:jc w:val="both"/>
      </w:pPr>
    </w:p>
    <w:p w:rsidR="00287A45" w:rsidRDefault="00287A45" w:rsidP="00301F3C">
      <w:pPr>
        <w:jc w:val="both"/>
      </w:pPr>
    </w:p>
    <w:p w:rsidR="00287A45" w:rsidRDefault="00287A45" w:rsidP="00301F3C">
      <w:pPr>
        <w:jc w:val="both"/>
      </w:pPr>
    </w:p>
    <w:p w:rsidR="00287A45" w:rsidRDefault="00287A45" w:rsidP="00301F3C">
      <w:pPr>
        <w:jc w:val="both"/>
      </w:pPr>
    </w:p>
    <w:p w:rsidR="00287A45" w:rsidRDefault="00287A45" w:rsidP="00301F3C">
      <w:pPr>
        <w:jc w:val="both"/>
      </w:pPr>
    </w:p>
    <w:p w:rsidR="00287A45" w:rsidRDefault="00287A45" w:rsidP="00301F3C">
      <w:pPr>
        <w:jc w:val="both"/>
      </w:pPr>
    </w:p>
    <w:p w:rsidR="00287A45" w:rsidRDefault="00287A45" w:rsidP="00301F3C">
      <w:pPr>
        <w:jc w:val="both"/>
      </w:pPr>
    </w:p>
    <w:p w:rsidR="00287A45" w:rsidRDefault="00287A45" w:rsidP="00301F3C">
      <w:pPr>
        <w:jc w:val="both"/>
      </w:pPr>
    </w:p>
    <w:p w:rsidR="004C7A5F" w:rsidRDefault="004C7A5F" w:rsidP="00301F3C">
      <w:pPr>
        <w:jc w:val="both"/>
      </w:pPr>
    </w:p>
    <w:p w:rsidR="004C7A5F" w:rsidRDefault="004C7A5F" w:rsidP="00301F3C">
      <w:pPr>
        <w:jc w:val="both"/>
      </w:pPr>
    </w:p>
    <w:p w:rsidR="004C7A5F" w:rsidRDefault="004C7A5F" w:rsidP="00301F3C">
      <w:pPr>
        <w:jc w:val="both"/>
      </w:pPr>
    </w:p>
    <w:p w:rsidR="004C7A5F" w:rsidRDefault="004C7A5F" w:rsidP="00301F3C">
      <w:pPr>
        <w:jc w:val="both"/>
      </w:pPr>
    </w:p>
    <w:p w:rsidR="004C7A5F" w:rsidRDefault="004C7A5F" w:rsidP="00301F3C">
      <w:pPr>
        <w:jc w:val="both"/>
      </w:pPr>
    </w:p>
    <w:p w:rsidR="00287A45" w:rsidRDefault="00287A45" w:rsidP="00301F3C">
      <w:pPr>
        <w:jc w:val="both"/>
      </w:pPr>
    </w:p>
    <w:p w:rsidR="00287A45" w:rsidRDefault="00287A45" w:rsidP="00301F3C">
      <w:pPr>
        <w:jc w:val="both"/>
      </w:pPr>
    </w:p>
    <w:p w:rsidR="00287A45" w:rsidRDefault="00287A45" w:rsidP="00301F3C">
      <w:pPr>
        <w:jc w:val="both"/>
      </w:pPr>
    </w:p>
    <w:p w:rsidR="0096562D" w:rsidRDefault="0096562D" w:rsidP="00301F3C">
      <w:pPr>
        <w:jc w:val="both"/>
      </w:pPr>
    </w:p>
    <w:p w:rsidR="0096562D" w:rsidRDefault="0096562D" w:rsidP="00301F3C">
      <w:pPr>
        <w:jc w:val="both"/>
      </w:pPr>
    </w:p>
    <w:p w:rsidR="00287A45" w:rsidRDefault="00287A45" w:rsidP="00301F3C">
      <w:pPr>
        <w:jc w:val="both"/>
      </w:pPr>
    </w:p>
    <w:p w:rsidR="00C60914" w:rsidRDefault="00C60914" w:rsidP="00287A45">
      <w:pPr>
        <w:jc w:val="both"/>
        <w:rPr>
          <w:b/>
          <w:u w:val="single"/>
        </w:rPr>
      </w:pPr>
    </w:p>
    <w:p w:rsidR="00287A45" w:rsidRPr="004900F4" w:rsidRDefault="0010593A" w:rsidP="00287A45">
      <w:pPr>
        <w:jc w:val="both"/>
        <w:rPr>
          <w:b/>
          <w:u w:val="single"/>
        </w:rPr>
      </w:pPr>
      <w:r w:rsidRPr="004900F4">
        <w:rPr>
          <w:b/>
          <w:u w:val="single"/>
        </w:rPr>
        <w:t>Pytanie nr 15</w:t>
      </w:r>
    </w:p>
    <w:p w:rsidR="00287A45" w:rsidRPr="004900F4" w:rsidRDefault="00287A45" w:rsidP="00287A45">
      <w:pPr>
        <w:jc w:val="both"/>
        <w:rPr>
          <w:b/>
        </w:rPr>
      </w:pPr>
      <w:r w:rsidRPr="004900F4">
        <w:rPr>
          <w:b/>
        </w:rPr>
        <w:t>Prosimy o informację, czy panel wykonywany techniką NGS w poz. 4, Załącznika nr 2 powinien obejmować:</w:t>
      </w:r>
    </w:p>
    <w:p w:rsidR="00287A45" w:rsidRPr="004900F4" w:rsidRDefault="00287A45" w:rsidP="00287A45">
      <w:pPr>
        <w:jc w:val="both"/>
        <w:rPr>
          <w:b/>
        </w:rPr>
      </w:pPr>
    </w:p>
    <w:p w:rsidR="00287A45" w:rsidRPr="004900F4" w:rsidRDefault="00287A45" w:rsidP="00287A45">
      <w:pPr>
        <w:jc w:val="both"/>
        <w:rPr>
          <w:b/>
        </w:rPr>
      </w:pPr>
      <w:r w:rsidRPr="004900F4">
        <w:rPr>
          <w:b/>
        </w:rPr>
        <w:t>•</w:t>
      </w:r>
      <w:r w:rsidRPr="004900F4">
        <w:rPr>
          <w:b/>
        </w:rPr>
        <w:tab/>
        <w:t>badanie mutacji genów: AKT1, ALK, BRAF, CTNNB1, DDR2, EGFR, ERBB2, FGFR1, GNAS, HRAS, IDH1, IDH2, KRAS, MAP2K1, MET, NRAS, PIK3CA, RET, ROS1;</w:t>
      </w:r>
    </w:p>
    <w:p w:rsidR="00287A45" w:rsidRPr="004900F4" w:rsidRDefault="00287A45" w:rsidP="00287A45">
      <w:pPr>
        <w:jc w:val="both"/>
        <w:rPr>
          <w:b/>
        </w:rPr>
      </w:pPr>
      <w:r w:rsidRPr="004900F4">
        <w:rPr>
          <w:b/>
        </w:rPr>
        <w:t>oraz</w:t>
      </w:r>
    </w:p>
    <w:p w:rsidR="00287A45" w:rsidRPr="004900F4" w:rsidRDefault="00287A45" w:rsidP="00287A45">
      <w:pPr>
        <w:jc w:val="both"/>
        <w:rPr>
          <w:b/>
        </w:rPr>
      </w:pPr>
      <w:r w:rsidRPr="004900F4">
        <w:rPr>
          <w:b/>
        </w:rPr>
        <w:t>•</w:t>
      </w:r>
      <w:r w:rsidRPr="004900F4">
        <w:rPr>
          <w:b/>
        </w:rPr>
        <w:tab/>
        <w:t>badanie fuzji genów: ALK, AXL, BRAF, CCND1, EGFR, FGFR1, FGFR2, FGFR3, MET, NRG1, NTRK1, NTRK2, NTRK3, PPARG, RAF1, RET, ROS1, THADA;</w:t>
      </w:r>
    </w:p>
    <w:p w:rsidR="00287A45" w:rsidRPr="004900F4" w:rsidRDefault="00287A45" w:rsidP="00301F3C">
      <w:pPr>
        <w:jc w:val="both"/>
        <w:rPr>
          <w:b/>
        </w:rPr>
      </w:pPr>
    </w:p>
    <w:p w:rsidR="00287A45" w:rsidRPr="004900F4" w:rsidRDefault="00287A45" w:rsidP="00301F3C">
      <w:pPr>
        <w:jc w:val="both"/>
      </w:pPr>
    </w:p>
    <w:p w:rsidR="00957E88" w:rsidRPr="004900F4" w:rsidRDefault="00957E88" w:rsidP="00957E88">
      <w:pPr>
        <w:jc w:val="both"/>
        <w:rPr>
          <w:b/>
        </w:rPr>
      </w:pPr>
      <w:r w:rsidRPr="004900F4">
        <w:rPr>
          <w:b/>
        </w:rPr>
        <w:t>Odpowiedź:</w:t>
      </w:r>
    </w:p>
    <w:p w:rsidR="004C7A5F" w:rsidRPr="004900F4" w:rsidRDefault="004C7A5F" w:rsidP="004C7A5F">
      <w:pPr>
        <w:jc w:val="both"/>
      </w:pPr>
      <w:r w:rsidRPr="004900F4">
        <w:t>Udzielający zamówienia potwierdza, że panel wykonywany techniką NGS w poz. 4, Załącznika nr 2 obejmuje:</w:t>
      </w:r>
    </w:p>
    <w:p w:rsidR="004C7A5F" w:rsidRPr="004900F4" w:rsidRDefault="004C7A5F" w:rsidP="004C7A5F">
      <w:pPr>
        <w:jc w:val="both"/>
      </w:pPr>
    </w:p>
    <w:p w:rsidR="004C7A5F" w:rsidRPr="004900F4" w:rsidRDefault="004C7A5F" w:rsidP="004C7A5F">
      <w:pPr>
        <w:jc w:val="both"/>
      </w:pPr>
      <w:r w:rsidRPr="004900F4">
        <w:t>•</w:t>
      </w:r>
      <w:r w:rsidRPr="004900F4">
        <w:tab/>
        <w:t>badanie mutacji genów: AKT1, ALK, BRAF, CTNNB1, DDR2, EGFR, ERBB2, FGFR1, GNAS, HRAS, IDH1, IDH2, KRAS, MAP2K1, MET, NRAS, PIK3CA, RET, ROS1;</w:t>
      </w:r>
    </w:p>
    <w:p w:rsidR="004C7A5F" w:rsidRPr="004900F4" w:rsidRDefault="004C7A5F" w:rsidP="004C7A5F">
      <w:pPr>
        <w:jc w:val="both"/>
      </w:pPr>
      <w:r w:rsidRPr="004900F4">
        <w:t>oraz</w:t>
      </w:r>
    </w:p>
    <w:p w:rsidR="00287A45" w:rsidRPr="004900F4" w:rsidRDefault="004C7A5F" w:rsidP="004C7A5F">
      <w:pPr>
        <w:jc w:val="both"/>
      </w:pPr>
      <w:r w:rsidRPr="004900F4">
        <w:t>•</w:t>
      </w:r>
      <w:r w:rsidRPr="004900F4">
        <w:tab/>
        <w:t>badanie fuzji genów: ALK, AXL, BRAF, CCND1, EGFR, FGFR1, FGFR2, FGFR3, MET, NRG1, NTRK1, NTRK2, NTRK3, PPARG, RAF1, RET, ROS1, THADA;</w:t>
      </w:r>
    </w:p>
    <w:p w:rsidR="00287A45" w:rsidRPr="004900F4" w:rsidRDefault="00287A45" w:rsidP="00301F3C">
      <w:pPr>
        <w:jc w:val="both"/>
      </w:pPr>
    </w:p>
    <w:p w:rsidR="00287A45" w:rsidRPr="004900F4" w:rsidRDefault="00287A45" w:rsidP="00301F3C">
      <w:pPr>
        <w:jc w:val="both"/>
      </w:pPr>
    </w:p>
    <w:p w:rsidR="004C7A5F" w:rsidRDefault="004C7A5F" w:rsidP="00301F3C">
      <w:pPr>
        <w:jc w:val="both"/>
      </w:pPr>
    </w:p>
    <w:p w:rsidR="0096562D" w:rsidRDefault="0096562D" w:rsidP="00301F3C">
      <w:pPr>
        <w:jc w:val="both"/>
      </w:pPr>
    </w:p>
    <w:p w:rsidR="0096562D" w:rsidRDefault="0096562D" w:rsidP="00301F3C">
      <w:pPr>
        <w:jc w:val="both"/>
      </w:pPr>
    </w:p>
    <w:p w:rsidR="0096562D" w:rsidRDefault="0096562D" w:rsidP="00301F3C">
      <w:pPr>
        <w:jc w:val="both"/>
      </w:pPr>
    </w:p>
    <w:p w:rsidR="0096562D" w:rsidRPr="004900F4" w:rsidRDefault="0096562D" w:rsidP="00301F3C">
      <w:pPr>
        <w:jc w:val="both"/>
      </w:pPr>
    </w:p>
    <w:p w:rsidR="004C7A5F" w:rsidRPr="004900F4" w:rsidRDefault="004C7A5F" w:rsidP="00301F3C">
      <w:pPr>
        <w:jc w:val="both"/>
      </w:pPr>
    </w:p>
    <w:p w:rsidR="00287A45" w:rsidRPr="004900F4" w:rsidRDefault="00957E88" w:rsidP="00301F3C">
      <w:pPr>
        <w:jc w:val="both"/>
        <w:rPr>
          <w:b/>
          <w:u w:val="single"/>
        </w:rPr>
      </w:pPr>
      <w:r w:rsidRPr="004900F4">
        <w:rPr>
          <w:b/>
          <w:u w:val="single"/>
        </w:rPr>
        <w:t>Pyt</w:t>
      </w:r>
      <w:r w:rsidR="0010593A" w:rsidRPr="004900F4">
        <w:rPr>
          <w:b/>
          <w:u w:val="single"/>
        </w:rPr>
        <w:t>anie nr 16</w:t>
      </w:r>
    </w:p>
    <w:p w:rsidR="00287A45" w:rsidRPr="004900F4" w:rsidRDefault="00957E88" w:rsidP="00301F3C">
      <w:pPr>
        <w:jc w:val="both"/>
        <w:rPr>
          <w:b/>
        </w:rPr>
      </w:pPr>
      <w:r w:rsidRPr="004900F4">
        <w:rPr>
          <w:b/>
        </w:rPr>
        <w:t>Prosimy o informację, czy panel wykonywany techniką NGS w poz. 5, Załącznika nr 2 powinien obejmować badanie mutacji w genach: POLE, POLD1, TP53, KRAS, PTEN, PIK3CA, MLH1, MSH2, MSH6, PMS2, BRCA1, BRCA2, CTNNB1 oraz MSI.</w:t>
      </w:r>
    </w:p>
    <w:p w:rsidR="00957E88" w:rsidRPr="004900F4" w:rsidRDefault="00957E88" w:rsidP="00301F3C">
      <w:pPr>
        <w:jc w:val="both"/>
        <w:rPr>
          <w:b/>
        </w:rPr>
      </w:pPr>
    </w:p>
    <w:p w:rsidR="00957E88" w:rsidRPr="004900F4" w:rsidRDefault="00957E88" w:rsidP="00301F3C">
      <w:pPr>
        <w:jc w:val="both"/>
      </w:pPr>
    </w:p>
    <w:p w:rsidR="00957E88" w:rsidRPr="004900F4" w:rsidRDefault="00957E88" w:rsidP="00957E88">
      <w:pPr>
        <w:jc w:val="both"/>
        <w:rPr>
          <w:b/>
        </w:rPr>
      </w:pPr>
      <w:r w:rsidRPr="004900F4">
        <w:rPr>
          <w:b/>
        </w:rPr>
        <w:t>Odpowiedź:</w:t>
      </w:r>
    </w:p>
    <w:p w:rsidR="00957E88" w:rsidRPr="004900F4" w:rsidRDefault="00CA5446" w:rsidP="00957E88">
      <w:pPr>
        <w:jc w:val="both"/>
      </w:pPr>
      <w:r w:rsidRPr="004900F4">
        <w:t>Udzielający zamówienia</w:t>
      </w:r>
      <w:r w:rsidR="00D010E3" w:rsidRPr="004900F4">
        <w:t xml:space="preserve"> potwierdza wykonanie panelu techniką NGS </w:t>
      </w:r>
      <w:r w:rsidR="00202C06" w:rsidRPr="004900F4">
        <w:t>obejmującego</w:t>
      </w:r>
      <w:r w:rsidR="00D010E3" w:rsidRPr="004900F4">
        <w:t xml:space="preserve"> badanie mutacji w genach: POLE, POLD1, TP53, KRAS, PTEN, PIK3CA, MLH1, MSH2, MSH6, PMS2, BRCA1, BRCA2, CTNNB1 oraz MSI.</w:t>
      </w:r>
    </w:p>
    <w:p w:rsidR="00957E88" w:rsidRPr="004900F4" w:rsidRDefault="00957E88" w:rsidP="00301F3C">
      <w:pPr>
        <w:jc w:val="both"/>
      </w:pPr>
    </w:p>
    <w:p w:rsidR="00957E88" w:rsidRDefault="00957E88" w:rsidP="00301F3C">
      <w:pPr>
        <w:jc w:val="both"/>
      </w:pPr>
    </w:p>
    <w:p w:rsidR="00957E88" w:rsidRDefault="00957E88" w:rsidP="00301F3C">
      <w:pPr>
        <w:jc w:val="both"/>
      </w:pPr>
    </w:p>
    <w:p w:rsidR="00957E88" w:rsidRDefault="00957E88" w:rsidP="00301F3C">
      <w:pPr>
        <w:jc w:val="both"/>
      </w:pPr>
    </w:p>
    <w:p w:rsidR="00957E88" w:rsidRDefault="00957E88" w:rsidP="00301F3C">
      <w:pPr>
        <w:jc w:val="both"/>
      </w:pPr>
    </w:p>
    <w:p w:rsidR="00957E88" w:rsidRDefault="00957E88" w:rsidP="00301F3C">
      <w:pPr>
        <w:jc w:val="both"/>
      </w:pPr>
    </w:p>
    <w:p w:rsidR="00957E88" w:rsidRDefault="00957E88" w:rsidP="00301F3C">
      <w:pPr>
        <w:jc w:val="both"/>
      </w:pPr>
    </w:p>
    <w:p w:rsidR="00957E88" w:rsidRDefault="00957E88" w:rsidP="00301F3C">
      <w:pPr>
        <w:jc w:val="both"/>
      </w:pPr>
    </w:p>
    <w:p w:rsidR="00957E88" w:rsidRDefault="00957E88" w:rsidP="00301F3C">
      <w:pPr>
        <w:jc w:val="both"/>
      </w:pPr>
    </w:p>
    <w:p w:rsidR="00957E88" w:rsidRDefault="00957E88" w:rsidP="00301F3C">
      <w:pPr>
        <w:jc w:val="both"/>
      </w:pPr>
    </w:p>
    <w:p w:rsidR="00957E88" w:rsidRDefault="00957E88" w:rsidP="00301F3C">
      <w:pPr>
        <w:jc w:val="both"/>
      </w:pPr>
    </w:p>
    <w:p w:rsidR="00957E88" w:rsidRDefault="00957E88" w:rsidP="00301F3C">
      <w:pPr>
        <w:jc w:val="both"/>
      </w:pPr>
    </w:p>
    <w:p w:rsidR="00957E88" w:rsidRPr="004900F4" w:rsidRDefault="0010593A" w:rsidP="00301F3C">
      <w:pPr>
        <w:jc w:val="both"/>
        <w:rPr>
          <w:b/>
          <w:u w:val="single"/>
        </w:rPr>
      </w:pPr>
      <w:r w:rsidRPr="004900F4">
        <w:rPr>
          <w:b/>
          <w:u w:val="single"/>
        </w:rPr>
        <w:t>Pytanie nr 17</w:t>
      </w:r>
    </w:p>
    <w:p w:rsidR="00957E88" w:rsidRPr="004900F4" w:rsidRDefault="00957E88" w:rsidP="00301F3C">
      <w:pPr>
        <w:jc w:val="both"/>
      </w:pPr>
      <w:r w:rsidRPr="004900F4">
        <w:rPr>
          <w:b/>
        </w:rPr>
        <w:t xml:space="preserve">Prosimy o potwierdzenie, czy w związku z zapisami SWKO (Rozdział 5, pkt 8, </w:t>
      </w:r>
      <w:proofErr w:type="spellStart"/>
      <w:r w:rsidRPr="004900F4">
        <w:rPr>
          <w:b/>
        </w:rPr>
        <w:t>ppkt</w:t>
      </w:r>
      <w:proofErr w:type="spellEnd"/>
      <w:r w:rsidRPr="004900F4">
        <w:rPr>
          <w:b/>
        </w:rPr>
        <w:t xml:space="preserve"> j) i k)) oraz wymogiem zawartym w Programie lekowym B.144. - Leczenie pacjentów z guzami litymi z fuzją genu receptorowej kinazy tyrozynowej dla neurotrofin (NTRK) oraz Zarządzeniem nr 49/2024/DGL Prezesa Narodowego Funduszu Zdrowia z dnia 8 maja 2024 r., załącznik nr 7, Udzielający Zamówienia obligatoryjnie wymaga posiadania i załączenia do składanej oferty aktualnego certyfikatu, potwierdzającego pozytywne przejście kontroli w zakresie badań fuzji genów NTRK1, NTRK2, NTRK3 techniką NGS</w:t>
      </w:r>
      <w:r w:rsidRPr="004900F4">
        <w:t>.</w:t>
      </w:r>
    </w:p>
    <w:p w:rsidR="00957E88" w:rsidRPr="004900F4" w:rsidRDefault="00957E88" w:rsidP="00301F3C">
      <w:pPr>
        <w:jc w:val="both"/>
      </w:pPr>
    </w:p>
    <w:p w:rsidR="00957E88" w:rsidRPr="004900F4" w:rsidRDefault="00957E88" w:rsidP="00301F3C">
      <w:pPr>
        <w:jc w:val="both"/>
      </w:pPr>
    </w:p>
    <w:p w:rsidR="00957E88" w:rsidRPr="004900F4" w:rsidRDefault="00957E88" w:rsidP="00957E88">
      <w:pPr>
        <w:jc w:val="both"/>
        <w:rPr>
          <w:b/>
        </w:rPr>
      </w:pPr>
      <w:r w:rsidRPr="004900F4">
        <w:rPr>
          <w:b/>
        </w:rPr>
        <w:t>Odpowiedź:</w:t>
      </w:r>
    </w:p>
    <w:p w:rsidR="00957E88" w:rsidRPr="004900F4" w:rsidRDefault="00957E88" w:rsidP="00957E88">
      <w:pPr>
        <w:jc w:val="both"/>
      </w:pPr>
      <w:r w:rsidRPr="004900F4">
        <w:t>Udzi</w:t>
      </w:r>
      <w:r w:rsidR="00D010E3" w:rsidRPr="004900F4">
        <w:t>elający zamówienia wymaga posiadania i załączenia do składanej oferty aktualnego certyfikatu, potwierdzającego pozytywne przejście kontroli w zakresie badań fuzji genów NTRK1, NTRK2, NTRK3 techniką NGS.</w:t>
      </w:r>
    </w:p>
    <w:p w:rsidR="00957E88" w:rsidRPr="004900F4" w:rsidRDefault="00957E88" w:rsidP="00301F3C">
      <w:pPr>
        <w:jc w:val="both"/>
      </w:pPr>
    </w:p>
    <w:p w:rsidR="00957E88" w:rsidRDefault="00957E88" w:rsidP="00301F3C">
      <w:pPr>
        <w:jc w:val="both"/>
      </w:pPr>
    </w:p>
    <w:p w:rsidR="00D010E3" w:rsidRDefault="00D010E3" w:rsidP="00301F3C">
      <w:pPr>
        <w:jc w:val="both"/>
      </w:pPr>
    </w:p>
    <w:p w:rsidR="00D010E3" w:rsidRDefault="00D010E3" w:rsidP="00301F3C">
      <w:pPr>
        <w:jc w:val="both"/>
      </w:pPr>
    </w:p>
    <w:p w:rsidR="00957E88" w:rsidRPr="00D010E3" w:rsidRDefault="00957E88" w:rsidP="00301F3C">
      <w:pPr>
        <w:jc w:val="both"/>
        <w:rPr>
          <w:color w:val="FF0000"/>
        </w:rPr>
      </w:pPr>
    </w:p>
    <w:p w:rsidR="00957E88" w:rsidRPr="004900F4" w:rsidRDefault="0010593A" w:rsidP="00301F3C">
      <w:pPr>
        <w:jc w:val="both"/>
        <w:rPr>
          <w:b/>
          <w:u w:val="single"/>
        </w:rPr>
      </w:pPr>
      <w:r w:rsidRPr="004900F4">
        <w:rPr>
          <w:b/>
          <w:u w:val="single"/>
        </w:rPr>
        <w:t>Pytanie nr 18</w:t>
      </w:r>
    </w:p>
    <w:p w:rsidR="00957E88" w:rsidRPr="004900F4" w:rsidRDefault="00957E88" w:rsidP="00301F3C">
      <w:pPr>
        <w:jc w:val="both"/>
        <w:rPr>
          <w:b/>
        </w:rPr>
      </w:pPr>
      <w:r w:rsidRPr="004900F4">
        <w:rPr>
          <w:b/>
        </w:rPr>
        <w:t xml:space="preserve">Prosimy o potwierdzenie, czy w związku z zapisami SWKO (Rozdział 5, pkt 8, </w:t>
      </w:r>
      <w:proofErr w:type="spellStart"/>
      <w:r w:rsidRPr="004900F4">
        <w:rPr>
          <w:b/>
        </w:rPr>
        <w:t>ppkt</w:t>
      </w:r>
      <w:proofErr w:type="spellEnd"/>
      <w:r w:rsidRPr="004900F4">
        <w:rPr>
          <w:b/>
        </w:rPr>
        <w:t xml:space="preserve"> j) i k)) oraz Rozporządzeniem Ministra Zdrowia z dnia 11 marca 2021 r. zmieniającym rozporządzenie w sprawie świadczeń gwarantowanych z zakresu leczenia szpitalnego; Zakres świadczeń wymieniony w ramach CENTRUM KOMPETENCJI RAKA JELITA GRUBEGO (Wymagania: „realizacja predykcyjnych badań genetycznych i molekularnych przez laboratorium genetyczne posiadające certyfikat europejskiego programu kontroli jakości dla </w:t>
      </w:r>
      <w:proofErr w:type="spellStart"/>
      <w:r w:rsidRPr="004900F4">
        <w:rPr>
          <w:b/>
        </w:rPr>
        <w:t>biomarkera</w:t>
      </w:r>
      <w:proofErr w:type="spellEnd"/>
      <w:r w:rsidRPr="004900F4">
        <w:rPr>
          <w:b/>
        </w:rPr>
        <w:t xml:space="preserve"> oznaczanego wskazaną metodą laboratoryjną;”), Zamawiający obligatoryjnie wymaga posiadania  i załączenia do składanej oferty aktualnego certyfikatu potwierdzającego pozytywne przejście kontroli w zakresie badań niestabilności </w:t>
      </w:r>
      <w:proofErr w:type="spellStart"/>
      <w:r w:rsidRPr="004900F4">
        <w:rPr>
          <w:b/>
        </w:rPr>
        <w:t>mikrosatelitarnej</w:t>
      </w:r>
      <w:proofErr w:type="spellEnd"/>
      <w:r w:rsidRPr="004900F4">
        <w:rPr>
          <w:b/>
        </w:rPr>
        <w:t xml:space="preserve">  MSI.</w:t>
      </w:r>
    </w:p>
    <w:p w:rsidR="00957E88" w:rsidRPr="004900F4" w:rsidRDefault="00957E88" w:rsidP="00301F3C">
      <w:pPr>
        <w:jc w:val="both"/>
        <w:rPr>
          <w:b/>
        </w:rPr>
      </w:pPr>
    </w:p>
    <w:p w:rsidR="00957E88" w:rsidRPr="004900F4" w:rsidRDefault="00957E88" w:rsidP="00301F3C">
      <w:pPr>
        <w:jc w:val="both"/>
        <w:rPr>
          <w:b/>
        </w:rPr>
      </w:pPr>
    </w:p>
    <w:p w:rsidR="00957E88" w:rsidRPr="004900F4" w:rsidRDefault="00957E88" w:rsidP="00957E88">
      <w:pPr>
        <w:jc w:val="both"/>
        <w:rPr>
          <w:b/>
        </w:rPr>
      </w:pPr>
      <w:r w:rsidRPr="004900F4">
        <w:rPr>
          <w:b/>
        </w:rPr>
        <w:t>Odpowiedź:</w:t>
      </w:r>
    </w:p>
    <w:p w:rsidR="00957E88" w:rsidRPr="004900F4" w:rsidRDefault="00D010E3" w:rsidP="00301F3C">
      <w:pPr>
        <w:jc w:val="both"/>
      </w:pPr>
      <w:r w:rsidRPr="004900F4">
        <w:t xml:space="preserve">Udzielający zamówienia wymaga posiadania i załączenia do składanej oferty aktualnego certyfikatu, potwierdzającego pozytywne przejście kontroli w zakresie badań niestabilności </w:t>
      </w:r>
      <w:proofErr w:type="spellStart"/>
      <w:r w:rsidRPr="004900F4">
        <w:t>mikrosatelitarnej</w:t>
      </w:r>
      <w:proofErr w:type="spellEnd"/>
      <w:r w:rsidRPr="004900F4">
        <w:t xml:space="preserve">  MSI.</w:t>
      </w:r>
    </w:p>
    <w:p w:rsidR="00957E88" w:rsidRPr="004900F4" w:rsidRDefault="00957E88" w:rsidP="00301F3C">
      <w:pPr>
        <w:jc w:val="both"/>
      </w:pPr>
    </w:p>
    <w:p w:rsidR="00957E88" w:rsidRPr="00D010E3" w:rsidRDefault="00957E88" w:rsidP="00301F3C">
      <w:pPr>
        <w:jc w:val="both"/>
        <w:rPr>
          <w:color w:val="FF0000"/>
        </w:rPr>
      </w:pPr>
    </w:p>
    <w:p w:rsidR="00957E88" w:rsidRDefault="00957E88" w:rsidP="00301F3C">
      <w:pPr>
        <w:jc w:val="both"/>
      </w:pPr>
    </w:p>
    <w:p w:rsidR="00957E88" w:rsidRDefault="00957E88" w:rsidP="00301F3C">
      <w:pPr>
        <w:jc w:val="both"/>
      </w:pPr>
    </w:p>
    <w:p w:rsidR="00957E88" w:rsidRDefault="00957E88" w:rsidP="00301F3C">
      <w:pPr>
        <w:jc w:val="both"/>
      </w:pPr>
    </w:p>
    <w:p w:rsidR="0010593A" w:rsidRDefault="0010593A" w:rsidP="00301F3C">
      <w:pPr>
        <w:jc w:val="both"/>
      </w:pPr>
    </w:p>
    <w:p w:rsidR="0010593A" w:rsidRDefault="0010593A" w:rsidP="00301F3C">
      <w:pPr>
        <w:jc w:val="both"/>
      </w:pPr>
    </w:p>
    <w:p w:rsidR="0010593A" w:rsidRDefault="0010593A" w:rsidP="00301F3C">
      <w:pPr>
        <w:jc w:val="both"/>
      </w:pPr>
    </w:p>
    <w:p w:rsidR="0010593A" w:rsidRDefault="0010593A" w:rsidP="00301F3C">
      <w:pPr>
        <w:jc w:val="both"/>
      </w:pPr>
    </w:p>
    <w:p w:rsidR="00957E88" w:rsidRDefault="00957E88" w:rsidP="00301F3C">
      <w:pPr>
        <w:jc w:val="both"/>
      </w:pPr>
    </w:p>
    <w:p w:rsidR="00957E88" w:rsidRDefault="00957E88" w:rsidP="00301F3C">
      <w:pPr>
        <w:jc w:val="both"/>
      </w:pPr>
    </w:p>
    <w:p w:rsidR="004900F4" w:rsidRDefault="004900F4" w:rsidP="00301F3C">
      <w:pPr>
        <w:jc w:val="both"/>
      </w:pPr>
    </w:p>
    <w:p w:rsidR="004900F4" w:rsidRDefault="004900F4" w:rsidP="00301F3C">
      <w:pPr>
        <w:jc w:val="both"/>
      </w:pPr>
    </w:p>
    <w:p w:rsidR="00957E88" w:rsidRDefault="00957E88" w:rsidP="00301F3C">
      <w:pPr>
        <w:jc w:val="both"/>
      </w:pPr>
    </w:p>
    <w:p w:rsidR="00957E88" w:rsidRPr="004900F4" w:rsidRDefault="0010593A" w:rsidP="00301F3C">
      <w:pPr>
        <w:jc w:val="both"/>
        <w:rPr>
          <w:b/>
          <w:u w:val="single"/>
        </w:rPr>
      </w:pPr>
      <w:r w:rsidRPr="004900F4">
        <w:rPr>
          <w:b/>
          <w:u w:val="single"/>
        </w:rPr>
        <w:t>Pytanie nr 19</w:t>
      </w:r>
    </w:p>
    <w:p w:rsidR="00957E88" w:rsidRPr="004900F4" w:rsidRDefault="00957E88" w:rsidP="00301F3C">
      <w:pPr>
        <w:jc w:val="both"/>
        <w:rPr>
          <w:b/>
        </w:rPr>
      </w:pPr>
      <w:r w:rsidRPr="004900F4">
        <w:rPr>
          <w:b/>
        </w:rPr>
        <w:t xml:space="preserve">Prosimy o informację, czy w związku z zapisami SWKO (Rozdział 5, pkt 8, </w:t>
      </w:r>
      <w:proofErr w:type="spellStart"/>
      <w:r w:rsidRPr="004900F4">
        <w:rPr>
          <w:b/>
        </w:rPr>
        <w:t>ppkt</w:t>
      </w:r>
      <w:proofErr w:type="spellEnd"/>
      <w:r w:rsidRPr="004900F4">
        <w:rPr>
          <w:b/>
        </w:rPr>
        <w:t xml:space="preserve"> j) i k)) oraz wymogiem zawartym w Programie lekowym B.6. – Leczenie chorych na raka płuca oraz </w:t>
      </w:r>
      <w:proofErr w:type="spellStart"/>
      <w:r w:rsidRPr="004900F4">
        <w:rPr>
          <w:b/>
        </w:rPr>
        <w:t>międzybłonka</w:t>
      </w:r>
      <w:proofErr w:type="spellEnd"/>
      <w:r w:rsidRPr="004900F4">
        <w:rPr>
          <w:b/>
        </w:rPr>
        <w:t xml:space="preserve"> opłucnej i Zarządzeniem nr 49/2024/DGL Prezesa Narodowego Funduszu Zdrowia z dnia 8 maja 2024 r., załącznik nr 7, Udzielający Zamówienia obligatoryjnie wymaga posiadania i załączenia do składanej oferty aktualnych certyfikatów, potwierdzających pozytywne przejście kontroli w zakresie badań: EGFR, ALK FISH, ALK IHC, PD-L1, ROS1 FISH oraz badania mutacji genów EGFR i KRAS oraz </w:t>
      </w:r>
      <w:proofErr w:type="spellStart"/>
      <w:r w:rsidRPr="004900F4">
        <w:rPr>
          <w:b/>
        </w:rPr>
        <w:t>rearanżacji</w:t>
      </w:r>
      <w:proofErr w:type="spellEnd"/>
      <w:r w:rsidRPr="004900F4">
        <w:rPr>
          <w:b/>
        </w:rPr>
        <w:t xml:space="preserve"> genów ALK i ROS1 techniką NGS.</w:t>
      </w:r>
    </w:p>
    <w:p w:rsidR="00957E88" w:rsidRPr="004900F4" w:rsidRDefault="00957E88" w:rsidP="00301F3C">
      <w:pPr>
        <w:jc w:val="both"/>
      </w:pPr>
    </w:p>
    <w:p w:rsidR="00957E88" w:rsidRPr="004900F4" w:rsidRDefault="00957E88" w:rsidP="00301F3C">
      <w:pPr>
        <w:jc w:val="both"/>
      </w:pPr>
    </w:p>
    <w:p w:rsidR="00957E88" w:rsidRPr="004900F4" w:rsidRDefault="00957E88" w:rsidP="00301F3C">
      <w:pPr>
        <w:jc w:val="both"/>
      </w:pPr>
    </w:p>
    <w:p w:rsidR="00957E88" w:rsidRPr="004900F4" w:rsidRDefault="00957E88" w:rsidP="00301F3C">
      <w:pPr>
        <w:jc w:val="both"/>
      </w:pPr>
    </w:p>
    <w:p w:rsidR="00957E88" w:rsidRPr="004900F4" w:rsidRDefault="00957E88" w:rsidP="00957E88">
      <w:pPr>
        <w:jc w:val="both"/>
        <w:rPr>
          <w:b/>
        </w:rPr>
      </w:pPr>
      <w:r w:rsidRPr="004900F4">
        <w:rPr>
          <w:b/>
        </w:rPr>
        <w:t>Odpowiedź:</w:t>
      </w:r>
    </w:p>
    <w:p w:rsidR="00D010E3" w:rsidRPr="004900F4" w:rsidRDefault="00D010E3" w:rsidP="00D010E3">
      <w:r w:rsidRPr="004900F4">
        <w:t xml:space="preserve">Udzielający zamówienia wymaga posiadania i załączenia do składanej oferty aktualnego certyfikatu, potwierdzającego pozytywne przejście kontroli w zakresie badań: EGFR, ALK FISH, ALK IHC, PD-L1, ROS1 FISH oraz badania mutacji genów EGFR i KRAS oraz </w:t>
      </w:r>
      <w:proofErr w:type="spellStart"/>
      <w:r w:rsidRPr="004900F4">
        <w:t>rearanżacji</w:t>
      </w:r>
      <w:proofErr w:type="spellEnd"/>
      <w:r w:rsidRPr="004900F4">
        <w:t xml:space="preserve"> genów ALK i ROS1 techniką NGS.</w:t>
      </w:r>
    </w:p>
    <w:p w:rsidR="00957E88" w:rsidRPr="00D010E3" w:rsidRDefault="00957E88" w:rsidP="00301F3C">
      <w:pPr>
        <w:jc w:val="both"/>
        <w:rPr>
          <w:color w:val="FF0000"/>
        </w:rPr>
      </w:pPr>
    </w:p>
    <w:p w:rsidR="00957E88" w:rsidRDefault="00957E88" w:rsidP="00301F3C">
      <w:pPr>
        <w:jc w:val="both"/>
      </w:pPr>
    </w:p>
    <w:p w:rsidR="00957E88" w:rsidRDefault="00957E88" w:rsidP="00301F3C">
      <w:pPr>
        <w:jc w:val="both"/>
      </w:pPr>
    </w:p>
    <w:p w:rsidR="00957E88" w:rsidRDefault="00957E88" w:rsidP="00301F3C">
      <w:pPr>
        <w:jc w:val="both"/>
      </w:pPr>
    </w:p>
    <w:p w:rsidR="00957E88" w:rsidRDefault="00957E88" w:rsidP="00301F3C">
      <w:pPr>
        <w:jc w:val="both"/>
      </w:pPr>
    </w:p>
    <w:p w:rsidR="00957E88" w:rsidRDefault="00957E88" w:rsidP="00301F3C">
      <w:pPr>
        <w:jc w:val="both"/>
      </w:pPr>
    </w:p>
    <w:p w:rsidR="00957E88" w:rsidRDefault="00957E88" w:rsidP="00301F3C">
      <w:pPr>
        <w:jc w:val="both"/>
      </w:pPr>
    </w:p>
    <w:p w:rsidR="00957E88" w:rsidRDefault="00957E88" w:rsidP="00301F3C">
      <w:pPr>
        <w:jc w:val="both"/>
      </w:pPr>
    </w:p>
    <w:p w:rsidR="00957E88" w:rsidRDefault="00957E88" w:rsidP="00301F3C">
      <w:pPr>
        <w:jc w:val="both"/>
      </w:pPr>
    </w:p>
    <w:p w:rsidR="00957E88" w:rsidRDefault="00957E88" w:rsidP="00301F3C">
      <w:pPr>
        <w:jc w:val="both"/>
      </w:pPr>
    </w:p>
    <w:p w:rsidR="0010593A" w:rsidRDefault="0010593A" w:rsidP="00301F3C">
      <w:pPr>
        <w:jc w:val="both"/>
      </w:pPr>
    </w:p>
    <w:p w:rsidR="0010593A" w:rsidRDefault="0010593A" w:rsidP="00301F3C">
      <w:pPr>
        <w:jc w:val="both"/>
      </w:pPr>
    </w:p>
    <w:p w:rsidR="0010593A" w:rsidRDefault="0010593A" w:rsidP="00301F3C">
      <w:pPr>
        <w:jc w:val="both"/>
      </w:pPr>
    </w:p>
    <w:p w:rsidR="0010593A" w:rsidRDefault="0010593A" w:rsidP="00301F3C">
      <w:pPr>
        <w:jc w:val="both"/>
      </w:pPr>
    </w:p>
    <w:p w:rsidR="0010593A" w:rsidRDefault="0010593A" w:rsidP="00301F3C">
      <w:pPr>
        <w:jc w:val="both"/>
      </w:pPr>
    </w:p>
    <w:p w:rsidR="00957E88" w:rsidRDefault="00957E88" w:rsidP="00301F3C">
      <w:pPr>
        <w:jc w:val="both"/>
      </w:pPr>
    </w:p>
    <w:p w:rsidR="00957E88" w:rsidRDefault="00957E88" w:rsidP="00301F3C">
      <w:pPr>
        <w:jc w:val="both"/>
      </w:pPr>
    </w:p>
    <w:p w:rsidR="00957E88" w:rsidRDefault="00957E88" w:rsidP="00301F3C">
      <w:pPr>
        <w:jc w:val="both"/>
      </w:pPr>
    </w:p>
    <w:p w:rsidR="00301F3C" w:rsidRPr="0033309E" w:rsidRDefault="00301F3C" w:rsidP="00301F3C">
      <w:pPr>
        <w:jc w:val="both"/>
      </w:pPr>
      <w:r w:rsidRPr="00301F3C">
        <w:t>Niniejszy dokument stanowi integralną część SWKO i jest wiążący dla wszystkich Oferentów ubiegających się o udzielenie niniejszego zamówienia.</w:t>
      </w:r>
    </w:p>
    <w:sectPr w:rsidR="00301F3C" w:rsidRPr="0033309E" w:rsidSect="00A17E1D">
      <w:headerReference w:type="default" r:id="rId8"/>
      <w:pgSz w:w="11906" w:h="16838" w:code="9"/>
      <w:pgMar w:top="1418" w:right="1418" w:bottom="1134"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D4F" w:rsidRDefault="00705D4F" w:rsidP="005B120F">
      <w:r>
        <w:separator/>
      </w:r>
    </w:p>
  </w:endnote>
  <w:endnote w:type="continuationSeparator" w:id="0">
    <w:p w:rsidR="00705D4F" w:rsidRDefault="00705D4F" w:rsidP="005B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D4F" w:rsidRDefault="00705D4F" w:rsidP="005B120F">
      <w:r>
        <w:separator/>
      </w:r>
    </w:p>
  </w:footnote>
  <w:footnote w:type="continuationSeparator" w:id="0">
    <w:p w:rsidR="00705D4F" w:rsidRDefault="00705D4F" w:rsidP="005B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39E" w:rsidRDefault="009C339E" w:rsidP="005B120F">
    <w:pPr>
      <w:pStyle w:val="Nagwek"/>
      <w:jc w:val="center"/>
    </w:pPr>
    <w:r>
      <w:rPr>
        <w:noProof/>
        <w:lang w:eastAsia="pl-PL"/>
      </w:rPr>
      <w:drawing>
        <wp:inline distT="0" distB="0" distL="0" distR="0">
          <wp:extent cx="5760720" cy="1330452"/>
          <wp:effectExtent l="0" t="0" r="0" b="317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01-COL.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330452"/>
                  </a:xfrm>
                  <a:prstGeom prst="rect">
                    <a:avLst/>
                  </a:prstGeom>
                </pic:spPr>
              </pic:pic>
            </a:graphicData>
          </a:graphic>
        </wp:inline>
      </w:drawing>
    </w:r>
  </w:p>
  <w:p w:rsidR="009C339E" w:rsidRDefault="009C339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18BC1E"/>
    <w:multiLevelType w:val="multilevel"/>
    <w:tmpl w:val="9B082A14"/>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72022E"/>
    <w:multiLevelType w:val="hybridMultilevel"/>
    <w:tmpl w:val="28D0255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10364DE"/>
    <w:multiLevelType w:val="hybridMultilevel"/>
    <w:tmpl w:val="5058B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F23580"/>
    <w:multiLevelType w:val="hybridMultilevel"/>
    <w:tmpl w:val="D3AADF64"/>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902774"/>
    <w:multiLevelType w:val="hybridMultilevel"/>
    <w:tmpl w:val="2F2C3076"/>
    <w:lvl w:ilvl="0" w:tplc="75E08114">
      <w:start w:val="1"/>
      <w:numFmt w:val="decimal"/>
      <w:lvlText w:val="%1."/>
      <w:lvlJc w:val="left"/>
      <w:pPr>
        <w:ind w:left="786" w:hanging="360"/>
      </w:pPr>
      <w:rPr>
        <w:rFonts w:asciiTheme="minorHAnsi" w:eastAsiaTheme="minorHAnsi" w:hAnsiTheme="minorHAnsi"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F8C3AF6"/>
    <w:multiLevelType w:val="hybridMultilevel"/>
    <w:tmpl w:val="FC0C1530"/>
    <w:lvl w:ilvl="0" w:tplc="1C5EB1C2">
      <w:start w:val="1"/>
      <w:numFmt w:val="decimal"/>
      <w:lvlText w:val="%1)"/>
      <w:lvlJc w:val="left"/>
      <w:pPr>
        <w:ind w:left="360" w:hanging="360"/>
      </w:pPr>
      <w:rPr>
        <w:rFonts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14434C4"/>
    <w:multiLevelType w:val="hybridMultilevel"/>
    <w:tmpl w:val="DFCE6D2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D75962"/>
    <w:multiLevelType w:val="hybridMultilevel"/>
    <w:tmpl w:val="5ADAF9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D65716"/>
    <w:multiLevelType w:val="hybridMultilevel"/>
    <w:tmpl w:val="8FC274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FD14095"/>
    <w:multiLevelType w:val="hybridMultilevel"/>
    <w:tmpl w:val="C61CC62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6"/>
  </w:num>
  <w:num w:numId="3">
    <w:abstractNumId w:val="9"/>
  </w:num>
  <w:num w:numId="4">
    <w:abstractNumId w:val="3"/>
  </w:num>
  <w:num w:numId="5">
    <w:abstractNumId w:val="7"/>
  </w:num>
  <w:num w:numId="6">
    <w:abstractNumId w:val="4"/>
  </w:num>
  <w:num w:numId="7">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lvlOverride w:ilvl="8"/>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0F"/>
    <w:rsid w:val="00004488"/>
    <w:rsid w:val="00060A89"/>
    <w:rsid w:val="0006348D"/>
    <w:rsid w:val="00071DCB"/>
    <w:rsid w:val="0009565B"/>
    <w:rsid w:val="000959B2"/>
    <w:rsid w:val="000A4D2D"/>
    <w:rsid w:val="000C6116"/>
    <w:rsid w:val="0010593A"/>
    <w:rsid w:val="00114261"/>
    <w:rsid w:val="00133592"/>
    <w:rsid w:val="0014655C"/>
    <w:rsid w:val="00167687"/>
    <w:rsid w:val="00194EC3"/>
    <w:rsid w:val="001957CD"/>
    <w:rsid w:val="00195FF6"/>
    <w:rsid w:val="001A1150"/>
    <w:rsid w:val="001D0044"/>
    <w:rsid w:val="001E4AF6"/>
    <w:rsid w:val="001F1D84"/>
    <w:rsid w:val="00202C06"/>
    <w:rsid w:val="00210ABB"/>
    <w:rsid w:val="00221C19"/>
    <w:rsid w:val="002225C3"/>
    <w:rsid w:val="002733FD"/>
    <w:rsid w:val="00287A45"/>
    <w:rsid w:val="0029408B"/>
    <w:rsid w:val="00297FDD"/>
    <w:rsid w:val="002B1A5D"/>
    <w:rsid w:val="002B220A"/>
    <w:rsid w:val="002E3B0A"/>
    <w:rsid w:val="00301F3C"/>
    <w:rsid w:val="00313150"/>
    <w:rsid w:val="00313305"/>
    <w:rsid w:val="0033309E"/>
    <w:rsid w:val="00347C38"/>
    <w:rsid w:val="003749FB"/>
    <w:rsid w:val="003A483B"/>
    <w:rsid w:val="003B3B81"/>
    <w:rsid w:val="003D3EA7"/>
    <w:rsid w:val="003E22A0"/>
    <w:rsid w:val="0040704B"/>
    <w:rsid w:val="0043489D"/>
    <w:rsid w:val="004900F4"/>
    <w:rsid w:val="00491E32"/>
    <w:rsid w:val="004A3479"/>
    <w:rsid w:val="004C7A5F"/>
    <w:rsid w:val="004F4D6E"/>
    <w:rsid w:val="00526855"/>
    <w:rsid w:val="00536943"/>
    <w:rsid w:val="00540650"/>
    <w:rsid w:val="005752A1"/>
    <w:rsid w:val="005827CD"/>
    <w:rsid w:val="00583232"/>
    <w:rsid w:val="005A57F6"/>
    <w:rsid w:val="005B120F"/>
    <w:rsid w:val="005D15CF"/>
    <w:rsid w:val="005E164B"/>
    <w:rsid w:val="005E3285"/>
    <w:rsid w:val="00600CF9"/>
    <w:rsid w:val="00632B4C"/>
    <w:rsid w:val="0066325E"/>
    <w:rsid w:val="006668F7"/>
    <w:rsid w:val="006669B7"/>
    <w:rsid w:val="00676117"/>
    <w:rsid w:val="00690672"/>
    <w:rsid w:val="006F0211"/>
    <w:rsid w:val="00705D4F"/>
    <w:rsid w:val="007B0B29"/>
    <w:rsid w:val="007B5565"/>
    <w:rsid w:val="007B7CF1"/>
    <w:rsid w:val="007C31B4"/>
    <w:rsid w:val="007D1691"/>
    <w:rsid w:val="007D2825"/>
    <w:rsid w:val="007F15C4"/>
    <w:rsid w:val="0081067E"/>
    <w:rsid w:val="00813E8F"/>
    <w:rsid w:val="00871844"/>
    <w:rsid w:val="008A1023"/>
    <w:rsid w:val="008C32CC"/>
    <w:rsid w:val="008D5104"/>
    <w:rsid w:val="008F4F0E"/>
    <w:rsid w:val="009227D6"/>
    <w:rsid w:val="00957E88"/>
    <w:rsid w:val="0096562D"/>
    <w:rsid w:val="009B2242"/>
    <w:rsid w:val="009C339E"/>
    <w:rsid w:val="00A17E1D"/>
    <w:rsid w:val="00A556A4"/>
    <w:rsid w:val="00A9014E"/>
    <w:rsid w:val="00AA47C2"/>
    <w:rsid w:val="00AC21E4"/>
    <w:rsid w:val="00AC7495"/>
    <w:rsid w:val="00AF1ACD"/>
    <w:rsid w:val="00AF3A0A"/>
    <w:rsid w:val="00B00B6A"/>
    <w:rsid w:val="00BF03F5"/>
    <w:rsid w:val="00BF6C74"/>
    <w:rsid w:val="00C15200"/>
    <w:rsid w:val="00C269D0"/>
    <w:rsid w:val="00C41CC5"/>
    <w:rsid w:val="00C5417A"/>
    <w:rsid w:val="00C60914"/>
    <w:rsid w:val="00C660CD"/>
    <w:rsid w:val="00CA5446"/>
    <w:rsid w:val="00CD2759"/>
    <w:rsid w:val="00D010E3"/>
    <w:rsid w:val="00D32D5F"/>
    <w:rsid w:val="00D3599C"/>
    <w:rsid w:val="00D45698"/>
    <w:rsid w:val="00D75D50"/>
    <w:rsid w:val="00DC3EBF"/>
    <w:rsid w:val="00DC5116"/>
    <w:rsid w:val="00DD30AC"/>
    <w:rsid w:val="00E00580"/>
    <w:rsid w:val="00E04820"/>
    <w:rsid w:val="00E274D5"/>
    <w:rsid w:val="00E420FA"/>
    <w:rsid w:val="00E50A02"/>
    <w:rsid w:val="00E5507A"/>
    <w:rsid w:val="00E60132"/>
    <w:rsid w:val="00EC64F8"/>
    <w:rsid w:val="00F1210A"/>
    <w:rsid w:val="00F353A1"/>
    <w:rsid w:val="00F6729C"/>
    <w:rsid w:val="00F8473E"/>
    <w:rsid w:val="00F93214"/>
    <w:rsid w:val="00FD19DC"/>
    <w:rsid w:val="00FD3ECC"/>
    <w:rsid w:val="00FE3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28DA6"/>
  <w15:docId w15:val="{F72332A3-01B4-43D6-84C5-02430154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57CD"/>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120F"/>
    <w:pPr>
      <w:tabs>
        <w:tab w:val="center" w:pos="4536"/>
        <w:tab w:val="right" w:pos="9072"/>
      </w:tabs>
    </w:pPr>
  </w:style>
  <w:style w:type="character" w:customStyle="1" w:styleId="NagwekZnak">
    <w:name w:val="Nagłówek Znak"/>
    <w:basedOn w:val="Domylnaczcionkaakapitu"/>
    <w:link w:val="Nagwek"/>
    <w:uiPriority w:val="99"/>
    <w:rsid w:val="005B120F"/>
  </w:style>
  <w:style w:type="paragraph" w:styleId="Stopka">
    <w:name w:val="footer"/>
    <w:basedOn w:val="Normalny"/>
    <w:link w:val="StopkaZnak"/>
    <w:uiPriority w:val="99"/>
    <w:unhideWhenUsed/>
    <w:rsid w:val="005B120F"/>
    <w:pPr>
      <w:tabs>
        <w:tab w:val="center" w:pos="4536"/>
        <w:tab w:val="right" w:pos="9072"/>
      </w:tabs>
    </w:pPr>
  </w:style>
  <w:style w:type="character" w:customStyle="1" w:styleId="StopkaZnak">
    <w:name w:val="Stopka Znak"/>
    <w:basedOn w:val="Domylnaczcionkaakapitu"/>
    <w:link w:val="Stopka"/>
    <w:uiPriority w:val="99"/>
    <w:rsid w:val="005B120F"/>
  </w:style>
  <w:style w:type="paragraph" w:styleId="Tekstdymka">
    <w:name w:val="Balloon Text"/>
    <w:basedOn w:val="Normalny"/>
    <w:link w:val="TekstdymkaZnak"/>
    <w:uiPriority w:val="99"/>
    <w:semiHidden/>
    <w:unhideWhenUsed/>
    <w:rsid w:val="005B120F"/>
    <w:rPr>
      <w:rFonts w:ascii="Tahoma" w:hAnsi="Tahoma" w:cs="Tahoma"/>
      <w:sz w:val="16"/>
      <w:szCs w:val="16"/>
    </w:rPr>
  </w:style>
  <w:style w:type="character" w:customStyle="1" w:styleId="TekstdymkaZnak">
    <w:name w:val="Tekst dymka Znak"/>
    <w:basedOn w:val="Domylnaczcionkaakapitu"/>
    <w:link w:val="Tekstdymka"/>
    <w:uiPriority w:val="99"/>
    <w:semiHidden/>
    <w:rsid w:val="005B120F"/>
    <w:rPr>
      <w:rFonts w:ascii="Tahoma" w:hAnsi="Tahoma" w:cs="Tahoma"/>
      <w:sz w:val="16"/>
      <w:szCs w:val="16"/>
    </w:rPr>
  </w:style>
  <w:style w:type="paragraph" w:styleId="Akapitzlist">
    <w:name w:val="List Paragraph"/>
    <w:basedOn w:val="Normalny"/>
    <w:uiPriority w:val="34"/>
    <w:qFormat/>
    <w:rsid w:val="00CD2759"/>
    <w:pPr>
      <w:ind w:left="720"/>
      <w:contextualSpacing/>
    </w:pPr>
  </w:style>
  <w:style w:type="paragraph" w:styleId="Tekstprzypisudolnego">
    <w:name w:val="footnote text"/>
    <w:basedOn w:val="Normalny"/>
    <w:link w:val="TekstprzypisudolnegoZnak"/>
    <w:uiPriority w:val="99"/>
    <w:semiHidden/>
    <w:unhideWhenUsed/>
    <w:rsid w:val="00CD2759"/>
    <w:rPr>
      <w:sz w:val="20"/>
      <w:szCs w:val="20"/>
    </w:rPr>
  </w:style>
  <w:style w:type="character" w:customStyle="1" w:styleId="TekstprzypisudolnegoZnak">
    <w:name w:val="Tekst przypisu dolnego Znak"/>
    <w:basedOn w:val="Domylnaczcionkaakapitu"/>
    <w:link w:val="Tekstprzypisudolnego"/>
    <w:uiPriority w:val="99"/>
    <w:semiHidden/>
    <w:rsid w:val="00CD2759"/>
    <w:rPr>
      <w:sz w:val="20"/>
      <w:szCs w:val="20"/>
    </w:rPr>
  </w:style>
  <w:style w:type="character" w:styleId="Odwoanieprzypisudolnego">
    <w:name w:val="footnote reference"/>
    <w:basedOn w:val="Domylnaczcionkaakapitu"/>
    <w:uiPriority w:val="99"/>
    <w:semiHidden/>
    <w:unhideWhenUsed/>
    <w:rsid w:val="00CD2759"/>
    <w:rPr>
      <w:vertAlign w:val="superscript"/>
    </w:rPr>
  </w:style>
  <w:style w:type="character" w:styleId="Hipercze">
    <w:name w:val="Hyperlink"/>
    <w:basedOn w:val="Domylnaczcionkaakapitu"/>
    <w:uiPriority w:val="99"/>
    <w:unhideWhenUsed/>
    <w:rsid w:val="00E04820"/>
    <w:rPr>
      <w:color w:val="0000FF" w:themeColor="hyperlink"/>
      <w:u w:val="single"/>
    </w:rPr>
  </w:style>
  <w:style w:type="paragraph" w:styleId="Zwykytekst">
    <w:name w:val="Plain Text"/>
    <w:basedOn w:val="Normalny"/>
    <w:link w:val="ZwykytekstZnak"/>
    <w:uiPriority w:val="99"/>
    <w:semiHidden/>
    <w:unhideWhenUsed/>
    <w:rsid w:val="00FD19DC"/>
    <w:rPr>
      <w:rFonts w:ascii="Calibri" w:hAnsi="Calibri"/>
      <w:szCs w:val="21"/>
    </w:rPr>
  </w:style>
  <w:style w:type="character" w:customStyle="1" w:styleId="ZwykytekstZnak">
    <w:name w:val="Zwykły tekst Znak"/>
    <w:basedOn w:val="Domylnaczcionkaakapitu"/>
    <w:link w:val="Zwykytekst"/>
    <w:uiPriority w:val="99"/>
    <w:semiHidden/>
    <w:rsid w:val="00FD19DC"/>
    <w:rPr>
      <w:rFonts w:ascii="Calibri" w:hAnsi="Calibri"/>
      <w:szCs w:val="21"/>
    </w:rPr>
  </w:style>
  <w:style w:type="character" w:customStyle="1" w:styleId="st">
    <w:name w:val="st"/>
    <w:basedOn w:val="Domylnaczcionkaakapitu"/>
    <w:rsid w:val="00210ABB"/>
  </w:style>
  <w:style w:type="character" w:styleId="Uwydatnienie">
    <w:name w:val="Emphasis"/>
    <w:basedOn w:val="Domylnaczcionkaakapitu"/>
    <w:uiPriority w:val="20"/>
    <w:qFormat/>
    <w:rsid w:val="00210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50857">
      <w:bodyDiv w:val="1"/>
      <w:marLeft w:val="0"/>
      <w:marRight w:val="0"/>
      <w:marTop w:val="0"/>
      <w:marBottom w:val="0"/>
      <w:divBdr>
        <w:top w:val="none" w:sz="0" w:space="0" w:color="auto"/>
        <w:left w:val="none" w:sz="0" w:space="0" w:color="auto"/>
        <w:bottom w:val="none" w:sz="0" w:space="0" w:color="auto"/>
        <w:right w:val="none" w:sz="0" w:space="0" w:color="auto"/>
      </w:divBdr>
    </w:div>
    <w:div w:id="490104113">
      <w:bodyDiv w:val="1"/>
      <w:marLeft w:val="0"/>
      <w:marRight w:val="0"/>
      <w:marTop w:val="0"/>
      <w:marBottom w:val="0"/>
      <w:divBdr>
        <w:top w:val="none" w:sz="0" w:space="0" w:color="auto"/>
        <w:left w:val="none" w:sz="0" w:space="0" w:color="auto"/>
        <w:bottom w:val="none" w:sz="0" w:space="0" w:color="auto"/>
        <w:right w:val="none" w:sz="0" w:space="0" w:color="auto"/>
      </w:divBdr>
    </w:div>
    <w:div w:id="659311623">
      <w:bodyDiv w:val="1"/>
      <w:marLeft w:val="0"/>
      <w:marRight w:val="0"/>
      <w:marTop w:val="0"/>
      <w:marBottom w:val="0"/>
      <w:divBdr>
        <w:top w:val="none" w:sz="0" w:space="0" w:color="auto"/>
        <w:left w:val="none" w:sz="0" w:space="0" w:color="auto"/>
        <w:bottom w:val="none" w:sz="0" w:space="0" w:color="auto"/>
        <w:right w:val="none" w:sz="0" w:space="0" w:color="auto"/>
      </w:divBdr>
    </w:div>
    <w:div w:id="700206615">
      <w:bodyDiv w:val="1"/>
      <w:marLeft w:val="0"/>
      <w:marRight w:val="0"/>
      <w:marTop w:val="0"/>
      <w:marBottom w:val="0"/>
      <w:divBdr>
        <w:top w:val="none" w:sz="0" w:space="0" w:color="auto"/>
        <w:left w:val="none" w:sz="0" w:space="0" w:color="auto"/>
        <w:bottom w:val="none" w:sz="0" w:space="0" w:color="auto"/>
        <w:right w:val="none" w:sz="0" w:space="0" w:color="auto"/>
      </w:divBdr>
    </w:div>
    <w:div w:id="727460489">
      <w:bodyDiv w:val="1"/>
      <w:marLeft w:val="0"/>
      <w:marRight w:val="0"/>
      <w:marTop w:val="0"/>
      <w:marBottom w:val="0"/>
      <w:divBdr>
        <w:top w:val="none" w:sz="0" w:space="0" w:color="auto"/>
        <w:left w:val="none" w:sz="0" w:space="0" w:color="auto"/>
        <w:bottom w:val="none" w:sz="0" w:space="0" w:color="auto"/>
        <w:right w:val="none" w:sz="0" w:space="0" w:color="auto"/>
      </w:divBdr>
    </w:div>
    <w:div w:id="1087535780">
      <w:bodyDiv w:val="1"/>
      <w:marLeft w:val="0"/>
      <w:marRight w:val="0"/>
      <w:marTop w:val="0"/>
      <w:marBottom w:val="0"/>
      <w:divBdr>
        <w:top w:val="none" w:sz="0" w:space="0" w:color="auto"/>
        <w:left w:val="none" w:sz="0" w:space="0" w:color="auto"/>
        <w:bottom w:val="none" w:sz="0" w:space="0" w:color="auto"/>
        <w:right w:val="none" w:sz="0" w:space="0" w:color="auto"/>
      </w:divBdr>
    </w:div>
    <w:div w:id="1167288958">
      <w:bodyDiv w:val="1"/>
      <w:marLeft w:val="0"/>
      <w:marRight w:val="0"/>
      <w:marTop w:val="0"/>
      <w:marBottom w:val="0"/>
      <w:divBdr>
        <w:top w:val="none" w:sz="0" w:space="0" w:color="auto"/>
        <w:left w:val="none" w:sz="0" w:space="0" w:color="auto"/>
        <w:bottom w:val="none" w:sz="0" w:space="0" w:color="auto"/>
        <w:right w:val="none" w:sz="0" w:space="0" w:color="auto"/>
      </w:divBdr>
    </w:div>
    <w:div w:id="1200361198">
      <w:bodyDiv w:val="1"/>
      <w:marLeft w:val="0"/>
      <w:marRight w:val="0"/>
      <w:marTop w:val="0"/>
      <w:marBottom w:val="0"/>
      <w:divBdr>
        <w:top w:val="none" w:sz="0" w:space="0" w:color="auto"/>
        <w:left w:val="none" w:sz="0" w:space="0" w:color="auto"/>
        <w:bottom w:val="none" w:sz="0" w:space="0" w:color="auto"/>
        <w:right w:val="none" w:sz="0" w:space="0" w:color="auto"/>
      </w:divBdr>
    </w:div>
    <w:div w:id="1648508369">
      <w:bodyDiv w:val="1"/>
      <w:marLeft w:val="0"/>
      <w:marRight w:val="0"/>
      <w:marTop w:val="0"/>
      <w:marBottom w:val="0"/>
      <w:divBdr>
        <w:top w:val="none" w:sz="0" w:space="0" w:color="auto"/>
        <w:left w:val="none" w:sz="0" w:space="0" w:color="auto"/>
        <w:bottom w:val="none" w:sz="0" w:space="0" w:color="auto"/>
        <w:right w:val="none" w:sz="0" w:space="0" w:color="auto"/>
      </w:divBdr>
    </w:div>
    <w:div w:id="1668174106">
      <w:bodyDiv w:val="1"/>
      <w:marLeft w:val="0"/>
      <w:marRight w:val="0"/>
      <w:marTop w:val="0"/>
      <w:marBottom w:val="0"/>
      <w:divBdr>
        <w:top w:val="none" w:sz="0" w:space="0" w:color="auto"/>
        <w:left w:val="none" w:sz="0" w:space="0" w:color="auto"/>
        <w:bottom w:val="none" w:sz="0" w:space="0" w:color="auto"/>
        <w:right w:val="none" w:sz="0" w:space="0" w:color="auto"/>
      </w:divBdr>
    </w:div>
    <w:div w:id="1884249586">
      <w:bodyDiv w:val="1"/>
      <w:marLeft w:val="0"/>
      <w:marRight w:val="0"/>
      <w:marTop w:val="0"/>
      <w:marBottom w:val="0"/>
      <w:divBdr>
        <w:top w:val="none" w:sz="0" w:space="0" w:color="auto"/>
        <w:left w:val="none" w:sz="0" w:space="0" w:color="auto"/>
        <w:bottom w:val="none" w:sz="0" w:space="0" w:color="auto"/>
        <w:right w:val="none" w:sz="0" w:space="0" w:color="auto"/>
      </w:divBdr>
    </w:div>
    <w:div w:id="1915431832">
      <w:bodyDiv w:val="1"/>
      <w:marLeft w:val="0"/>
      <w:marRight w:val="0"/>
      <w:marTop w:val="0"/>
      <w:marBottom w:val="0"/>
      <w:divBdr>
        <w:top w:val="none" w:sz="0" w:space="0" w:color="auto"/>
        <w:left w:val="none" w:sz="0" w:space="0" w:color="auto"/>
        <w:bottom w:val="none" w:sz="0" w:space="0" w:color="auto"/>
        <w:right w:val="none" w:sz="0" w:space="0" w:color="auto"/>
      </w:divBdr>
    </w:div>
    <w:div w:id="20689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66106-2364-4818-A7FB-9A228655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10</Pages>
  <Words>2360</Words>
  <Characters>14161</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Walkowiak-Dziubich</dc:creator>
  <cp:lastModifiedBy>Monika Michalak</cp:lastModifiedBy>
  <cp:revision>19</cp:revision>
  <cp:lastPrinted>2025-03-06T11:31:00Z</cp:lastPrinted>
  <dcterms:created xsi:type="dcterms:W3CDTF">2025-01-03T08:02:00Z</dcterms:created>
  <dcterms:modified xsi:type="dcterms:W3CDTF">2025-03-06T11:49:00Z</dcterms:modified>
</cp:coreProperties>
</file>