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7" w:rsidRPr="00F13896" w:rsidRDefault="00F13896" w:rsidP="00F13896">
      <w:pPr>
        <w:jc w:val="right"/>
        <w:rPr>
          <w:b/>
          <w:sz w:val="22"/>
          <w:szCs w:val="22"/>
        </w:rPr>
      </w:pPr>
      <w:r w:rsidRPr="00F13896">
        <w:rPr>
          <w:b/>
          <w:sz w:val="22"/>
          <w:szCs w:val="22"/>
        </w:rPr>
        <w:t>Załącznik Nr 3</w:t>
      </w: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0D30A8" w:rsidRPr="00963A5A" w:rsidRDefault="00963A5A" w:rsidP="005616C1">
      <w:pPr>
        <w:jc w:val="center"/>
        <w:rPr>
          <w:rFonts w:ascii="Georgia" w:hAnsi="Georgia"/>
          <w:b/>
          <w:sz w:val="22"/>
          <w:szCs w:val="22"/>
        </w:rPr>
      </w:pPr>
      <w:r w:rsidRPr="00963A5A">
        <w:rPr>
          <w:rFonts w:ascii="Georgia" w:hAnsi="Georgia"/>
          <w:b/>
          <w:sz w:val="22"/>
          <w:szCs w:val="22"/>
        </w:rPr>
        <w:t>OFERTA CENOWA NA WYKONANIE PRAC PROTETYCZNYCH</w:t>
      </w:r>
    </w:p>
    <w:p w:rsidR="00963A5A" w:rsidRPr="000D30A8" w:rsidRDefault="00963A5A" w:rsidP="00963A5A">
      <w:pPr>
        <w:rPr>
          <w:rFonts w:ascii="Arial" w:hAnsi="Arial" w:cs="Arial"/>
          <w:sz w:val="10"/>
          <w:szCs w:val="10"/>
        </w:rPr>
      </w:pPr>
    </w:p>
    <w:p w:rsidR="00963A5A" w:rsidRDefault="00963A5A" w:rsidP="00963A5A">
      <w:pPr>
        <w:rPr>
          <w:rFonts w:ascii="Georgia" w:hAnsi="Georgia" w:cs="Arial"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780"/>
        <w:gridCol w:w="2297"/>
      </w:tblGrid>
      <w:tr w:rsidR="005616C1" w:rsidRPr="00963A5A" w:rsidTr="00D10546">
        <w:trPr>
          <w:trHeight w:val="721"/>
        </w:trPr>
        <w:tc>
          <w:tcPr>
            <w:tcW w:w="699" w:type="dxa"/>
          </w:tcPr>
          <w:p w:rsidR="005616C1" w:rsidRPr="00963A5A" w:rsidRDefault="005616C1" w:rsidP="00BC6663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5616C1" w:rsidRPr="00963A5A" w:rsidRDefault="00EF1EC1" w:rsidP="00BC6663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L</w:t>
            </w:r>
            <w:r w:rsidR="005616C1" w:rsidRPr="00963A5A">
              <w:rPr>
                <w:rFonts w:ascii="Georgia" w:hAnsi="Georgia"/>
                <w:b/>
                <w:sz w:val="18"/>
                <w:szCs w:val="18"/>
              </w:rPr>
              <w:t>p.</w:t>
            </w:r>
          </w:p>
        </w:tc>
        <w:tc>
          <w:tcPr>
            <w:tcW w:w="6780" w:type="dxa"/>
          </w:tcPr>
          <w:p w:rsidR="005616C1" w:rsidRPr="00963A5A" w:rsidRDefault="005616C1" w:rsidP="00BC6663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Rodzaj pracy protetycznej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Cena jednostkowa brutto</w:t>
            </w:r>
          </w:p>
        </w:tc>
      </w:tr>
      <w:tr w:rsidR="005616C1" w:rsidRPr="00963A5A" w:rsidTr="00D10546">
        <w:trPr>
          <w:trHeight w:val="442"/>
        </w:trPr>
        <w:tc>
          <w:tcPr>
            <w:tcW w:w="699" w:type="dxa"/>
          </w:tcPr>
          <w:p w:rsidR="005616C1" w:rsidRPr="007F6AE3" w:rsidRDefault="005616C1" w:rsidP="00BC6663">
            <w:pPr>
              <w:pStyle w:val="Tekstpodstawowy"/>
              <w:rPr>
                <w:rFonts w:ascii="Georgia" w:hAnsi="Georgia"/>
                <w:b/>
                <w:sz w:val="18"/>
                <w:szCs w:val="18"/>
              </w:rPr>
            </w:pPr>
            <w:r w:rsidRPr="007F6AE3">
              <w:rPr>
                <w:rFonts w:ascii="Georgia" w:hAnsi="Georgia"/>
                <w:b/>
                <w:sz w:val="18"/>
                <w:szCs w:val="18"/>
              </w:rPr>
              <w:t>I.</w:t>
            </w:r>
          </w:p>
        </w:tc>
        <w:tc>
          <w:tcPr>
            <w:tcW w:w="9077" w:type="dxa"/>
            <w:gridSpan w:val="2"/>
          </w:tcPr>
          <w:p w:rsidR="005616C1" w:rsidRPr="00963A5A" w:rsidRDefault="005616C1" w:rsidP="00BC6663">
            <w:pPr>
              <w:pStyle w:val="Tekstpodstawowy"/>
              <w:jc w:val="left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bCs/>
                <w:sz w:val="18"/>
                <w:szCs w:val="18"/>
              </w:rPr>
              <w:t>Warunki ogólne dot. prac na NFZ:</w:t>
            </w:r>
          </w:p>
        </w:tc>
      </w:tr>
      <w:tr w:rsidR="005616C1" w:rsidRPr="00963A5A" w:rsidTr="00D10546">
        <w:trPr>
          <w:trHeight w:val="51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protezy całkowitej.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561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protezy powyżej 8 zębów.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</w:t>
            </w:r>
          </w:p>
        </w:tc>
      </w:tr>
      <w:tr w:rsidR="005616C1" w:rsidRPr="00963A5A" w:rsidTr="00D10546">
        <w:trPr>
          <w:trHeight w:val="711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 osiadających pow. brak. 5-ciu zębów u pacjenta w kwocie nie przekraczającej ½ sumy zakontraktowania za tę procedurę z punktów NFZ.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693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napraw w ramach NFZ za kwotę nie przekraczającą ½ sumy punktów określonych za tę procedurę.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844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podścieleń w ramach NFZ za kwotę nie przekraczającą ½ sumy punktów określonych za tę procedurę.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545"/>
        </w:trPr>
        <w:tc>
          <w:tcPr>
            <w:tcW w:w="699" w:type="dxa"/>
          </w:tcPr>
          <w:p w:rsidR="005616C1" w:rsidRPr="007F6AE3" w:rsidRDefault="005616C1" w:rsidP="00BC6663">
            <w:pPr>
              <w:pStyle w:val="Tekstpodstawowy"/>
              <w:rPr>
                <w:rFonts w:ascii="Georgia" w:hAnsi="Georgia"/>
                <w:b/>
                <w:sz w:val="18"/>
                <w:szCs w:val="18"/>
              </w:rPr>
            </w:pPr>
            <w:r w:rsidRPr="007F6AE3">
              <w:rPr>
                <w:rFonts w:ascii="Georgia" w:hAnsi="Georgia"/>
                <w:b/>
                <w:sz w:val="18"/>
                <w:szCs w:val="18"/>
              </w:rPr>
              <w:t>II.</w:t>
            </w:r>
          </w:p>
        </w:tc>
        <w:tc>
          <w:tcPr>
            <w:tcW w:w="9077" w:type="dxa"/>
            <w:gridSpan w:val="2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bCs/>
                <w:sz w:val="18"/>
                <w:szCs w:val="18"/>
              </w:rPr>
              <w:t>Warunki ogólne dotyczące prac ponad standardowych (nie gwarantowanych przez NFZ)</w:t>
            </w:r>
          </w:p>
        </w:tc>
      </w:tr>
      <w:tr w:rsidR="005616C1" w:rsidRPr="00963A5A" w:rsidTr="00D10546">
        <w:trPr>
          <w:trHeight w:val="619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osiadająca wykonana poza NFZ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415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protezy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40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protezy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42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szkieletowa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560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protezy szkieletowej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503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</w:t>
            </w:r>
          </w:p>
        </w:tc>
        <w:tc>
          <w:tcPr>
            <w:tcW w:w="6780" w:type="dxa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protezy szkieletowej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BC6663">
        <w:trPr>
          <w:trHeight w:val="410"/>
        </w:trPr>
        <w:tc>
          <w:tcPr>
            <w:tcW w:w="699" w:type="dxa"/>
            <w:vMerge w:val="restart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7.</w:t>
            </w:r>
          </w:p>
        </w:tc>
        <w:tc>
          <w:tcPr>
            <w:tcW w:w="6780" w:type="dxa"/>
            <w:vMerge w:val="restart"/>
          </w:tcPr>
          <w:p w:rsidR="007F6AE3" w:rsidRDefault="007F6AE3" w:rsidP="00BC6663">
            <w:pPr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Wkłady korono-korzeniowe</w:t>
            </w:r>
          </w:p>
          <w:p w:rsidR="005616C1" w:rsidRPr="00963A5A" w:rsidRDefault="005616C1" w:rsidP="00BC6663">
            <w:pPr>
              <w:numPr>
                <w:ilvl w:val="1"/>
                <w:numId w:val="33"/>
              </w:num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pojedyncze</w:t>
            </w:r>
          </w:p>
          <w:p w:rsidR="005616C1" w:rsidRPr="00963A5A" w:rsidRDefault="005616C1" w:rsidP="00BC6663">
            <w:pPr>
              <w:numPr>
                <w:ilvl w:val="1"/>
                <w:numId w:val="33"/>
              </w:num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składane podwójne (cena drugiej części wkładu nie może przekroczyć ½ ceny wkładu pojedynczego)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5616C1" w:rsidRPr="00963A5A" w:rsidTr="00D10546">
        <w:trPr>
          <w:trHeight w:val="701"/>
        </w:trPr>
        <w:tc>
          <w:tcPr>
            <w:tcW w:w="699" w:type="dxa"/>
            <w:vMerge/>
          </w:tcPr>
          <w:p w:rsidR="005616C1" w:rsidRPr="00963A5A" w:rsidRDefault="005616C1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5616C1" w:rsidRPr="00963A5A" w:rsidRDefault="005616C1" w:rsidP="00BC666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5616C1" w:rsidRPr="00963A5A" w:rsidTr="00D10546">
        <w:trPr>
          <w:trHeight w:val="555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Protezy osiadające ponadstandardowe wykonane w technice tzw. „miękkiej płyty </w:t>
            </w:r>
            <w:r>
              <w:rPr>
                <w:rFonts w:ascii="Georgia" w:hAnsi="Georgia"/>
                <w:sz w:val="18"/>
                <w:szCs w:val="18"/>
              </w:rPr>
              <w:t>- elastyczne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  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421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Łyżka indywidualna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555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Siatka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40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Drut dolny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413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Akryl bezbarwny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5616C1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13.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5616C1" w:rsidRPr="00963A5A" w:rsidRDefault="005616C1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Etruska</w:t>
            </w:r>
          </w:p>
        </w:tc>
        <w:tc>
          <w:tcPr>
            <w:tcW w:w="2297" w:type="dxa"/>
          </w:tcPr>
          <w:p w:rsidR="005616C1" w:rsidRPr="00963A5A" w:rsidRDefault="005616C1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Korona pełnoceramiczna na cyrkonie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Korona kompozytowa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16.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Inlay, onlay kompozyt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Most typu AET kompozyt, włókno szklane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Most typu AET metal, porcelana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19.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Proteza szkieletowa wykończona materiałem elastycznym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Szyna wybielająca</w:t>
            </w:r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756D57" w:rsidRPr="00963A5A" w:rsidTr="00D10546">
        <w:trPr>
          <w:trHeight w:val="537"/>
        </w:trPr>
        <w:tc>
          <w:tcPr>
            <w:tcW w:w="699" w:type="dxa"/>
          </w:tcPr>
          <w:p w:rsidR="007F6AE3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F6AE3" w:rsidP="007F6AE3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21.</w:t>
            </w:r>
          </w:p>
        </w:tc>
        <w:tc>
          <w:tcPr>
            <w:tcW w:w="6780" w:type="dxa"/>
          </w:tcPr>
          <w:p w:rsidR="007F6AE3" w:rsidRDefault="007F6AE3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  <w:p w:rsidR="00756D57" w:rsidRPr="00963A5A" w:rsidRDefault="00756D57" w:rsidP="00BC6663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bookmarkStart w:id="0" w:name="_GoBack"/>
            <w:r>
              <w:rPr>
                <w:rFonts w:ascii="Georgia" w:hAnsi="Georgia"/>
                <w:sz w:val="18"/>
                <w:szCs w:val="18"/>
              </w:rPr>
              <w:t>Szyna nagryzowa miękka</w:t>
            </w:r>
            <w:bookmarkEnd w:id="0"/>
          </w:p>
        </w:tc>
        <w:tc>
          <w:tcPr>
            <w:tcW w:w="2297" w:type="dxa"/>
          </w:tcPr>
          <w:p w:rsidR="00756D57" w:rsidRPr="00963A5A" w:rsidRDefault="00756D57" w:rsidP="00BC6663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616C1" w:rsidRDefault="005616C1" w:rsidP="005616C1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Pr="00963A5A" w:rsidRDefault="000D30A8" w:rsidP="00963A5A">
      <w:pPr>
        <w:rPr>
          <w:rFonts w:ascii="Georgia" w:hAnsi="Georgia" w:cs="Arial"/>
          <w:sz w:val="18"/>
          <w:szCs w:val="18"/>
        </w:rPr>
      </w:pPr>
    </w:p>
    <w:p w:rsidR="00963A5A" w:rsidRDefault="00963A5A" w:rsidP="00963A5A">
      <w:pPr>
        <w:rPr>
          <w:rFonts w:ascii="Arial" w:hAnsi="Arial" w:cs="Arial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9C7EE5" w:rsidRDefault="009C7EE5" w:rsidP="009C7EE5">
      <w:pPr>
        <w:jc w:val="right"/>
        <w:rPr>
          <w:sz w:val="28"/>
        </w:rPr>
      </w:pPr>
    </w:p>
    <w:p w:rsidR="00DD79B4" w:rsidRDefault="00AA5112" w:rsidP="001C3B02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FC0609" w:rsidRDefault="00FC0609" w:rsidP="00FD51B7">
      <w:pPr>
        <w:jc w:val="center"/>
        <w:rPr>
          <w:rFonts w:ascii="Georgia" w:hAnsi="Georgia"/>
          <w:b/>
          <w:color w:val="000000" w:themeColor="text1"/>
          <w:highlight w:val="green"/>
        </w:rPr>
      </w:pPr>
    </w:p>
    <w:p w:rsidR="00D92FF1" w:rsidRDefault="00D92FF1" w:rsidP="0023163E">
      <w:pPr>
        <w:rPr>
          <w:rFonts w:ascii="Georgia" w:hAnsi="Georgia"/>
          <w:b/>
          <w:color w:val="000000" w:themeColor="text1"/>
          <w:highlight w:val="green"/>
        </w:rPr>
      </w:pPr>
    </w:p>
    <w:p w:rsidR="0023163E" w:rsidRDefault="0023163E" w:rsidP="0023163E">
      <w:pPr>
        <w:rPr>
          <w:rFonts w:ascii="Georgia" w:hAnsi="Georgia"/>
          <w:b/>
          <w:color w:val="000000" w:themeColor="text1"/>
        </w:rPr>
      </w:pPr>
    </w:p>
    <w:p w:rsidR="00E95C7B" w:rsidRPr="0036012D" w:rsidRDefault="00E95C7B" w:rsidP="00E95C7B">
      <w:pPr>
        <w:jc w:val="both"/>
        <w:rPr>
          <w:rFonts w:ascii="Georgia" w:hAnsi="Georgia"/>
          <w:b/>
          <w:sz w:val="20"/>
          <w:szCs w:val="20"/>
        </w:rPr>
      </w:pPr>
    </w:p>
    <w:p w:rsidR="00E95C7B" w:rsidRPr="0036012D" w:rsidRDefault="00E95C7B" w:rsidP="00E95C7B">
      <w:pPr>
        <w:rPr>
          <w:rFonts w:ascii="Georgia" w:hAnsi="Georgia"/>
          <w:sz w:val="20"/>
          <w:szCs w:val="20"/>
        </w:rPr>
      </w:pPr>
    </w:p>
    <w:p w:rsidR="00BB0FB0" w:rsidRPr="00405492" w:rsidRDefault="00BB0FB0" w:rsidP="00405492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sectPr w:rsidR="00BB0FB0" w:rsidRPr="00405492" w:rsidSect="00AC3F77">
      <w:footerReference w:type="even" r:id="rId8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B1" w:rsidRDefault="00302CB1" w:rsidP="00B6039C">
      <w:r>
        <w:separator/>
      </w:r>
    </w:p>
  </w:endnote>
  <w:endnote w:type="continuationSeparator" w:id="0">
    <w:p w:rsidR="00302CB1" w:rsidRDefault="00302CB1" w:rsidP="00B6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B4" w:rsidRDefault="009065B4" w:rsidP="00AC3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5B4" w:rsidRDefault="00906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B1" w:rsidRDefault="00302CB1" w:rsidP="00B6039C">
      <w:r>
        <w:separator/>
      </w:r>
    </w:p>
  </w:footnote>
  <w:footnote w:type="continuationSeparator" w:id="0">
    <w:p w:rsidR="00302CB1" w:rsidRDefault="00302CB1" w:rsidP="00B6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92C"/>
    <w:multiLevelType w:val="hybridMultilevel"/>
    <w:tmpl w:val="FF1436D6"/>
    <w:lvl w:ilvl="0" w:tplc="EE8AC0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3503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15091"/>
    <w:multiLevelType w:val="hybridMultilevel"/>
    <w:tmpl w:val="2446D4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2143D"/>
    <w:multiLevelType w:val="hybridMultilevel"/>
    <w:tmpl w:val="1B366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D6FCE"/>
    <w:multiLevelType w:val="singleLevel"/>
    <w:tmpl w:val="215AF2D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5C747C"/>
    <w:multiLevelType w:val="hybridMultilevel"/>
    <w:tmpl w:val="294C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7E05"/>
    <w:multiLevelType w:val="hybridMultilevel"/>
    <w:tmpl w:val="ABF8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B3BF9"/>
    <w:multiLevelType w:val="hybridMultilevel"/>
    <w:tmpl w:val="2996E4B0"/>
    <w:lvl w:ilvl="0" w:tplc="3AD8BE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803F0D"/>
    <w:multiLevelType w:val="hybridMultilevel"/>
    <w:tmpl w:val="1138EB64"/>
    <w:lvl w:ilvl="0" w:tplc="F872F48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E8FE6A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77A1F"/>
    <w:multiLevelType w:val="hybridMultilevel"/>
    <w:tmpl w:val="AB4C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09F4"/>
    <w:multiLevelType w:val="multilevel"/>
    <w:tmpl w:val="1E98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73618D"/>
    <w:multiLevelType w:val="hybridMultilevel"/>
    <w:tmpl w:val="5358D570"/>
    <w:lvl w:ilvl="0" w:tplc="4D2AB5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53CC2"/>
    <w:multiLevelType w:val="multilevel"/>
    <w:tmpl w:val="4F7A494E"/>
    <w:lvl w:ilvl="0">
      <w:start w:val="1"/>
      <w:numFmt w:val="decimal"/>
      <w:lvlText w:val="%1."/>
      <w:legacy w:legacy="1" w:legacySpace="360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36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36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36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36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36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36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36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360" w:legacyIndent="708"/>
      <w:lvlJc w:val="left"/>
      <w:pPr>
        <w:ind w:left="5637" w:hanging="708"/>
      </w:pPr>
    </w:lvl>
  </w:abstractNum>
  <w:abstractNum w:abstractNumId="21" w15:restartNumberingAfterBreak="0">
    <w:nsid w:val="326C212D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7138CC"/>
    <w:multiLevelType w:val="hybridMultilevel"/>
    <w:tmpl w:val="4BA21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E5BAC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4" w15:restartNumberingAfterBreak="0">
    <w:nsid w:val="39B75670"/>
    <w:multiLevelType w:val="hybridMultilevel"/>
    <w:tmpl w:val="11CAD87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A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124CC"/>
    <w:multiLevelType w:val="multilevel"/>
    <w:tmpl w:val="E23E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8407DEF"/>
    <w:multiLevelType w:val="hybridMultilevel"/>
    <w:tmpl w:val="40AA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2F53E0"/>
    <w:multiLevelType w:val="hybridMultilevel"/>
    <w:tmpl w:val="76E22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9173D2"/>
    <w:multiLevelType w:val="hybridMultilevel"/>
    <w:tmpl w:val="386E2B9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E4FCB"/>
    <w:multiLevelType w:val="hybridMultilevel"/>
    <w:tmpl w:val="C256F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B519A"/>
    <w:multiLevelType w:val="hybridMultilevel"/>
    <w:tmpl w:val="6B22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1D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472FF3"/>
    <w:multiLevelType w:val="hybridMultilevel"/>
    <w:tmpl w:val="504A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A1F54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4" w15:restartNumberingAfterBreak="0">
    <w:nsid w:val="59E72C2D"/>
    <w:multiLevelType w:val="hybridMultilevel"/>
    <w:tmpl w:val="CC2C5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BDC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04888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8" w15:restartNumberingAfterBreak="0">
    <w:nsid w:val="66C0172F"/>
    <w:multiLevelType w:val="hybridMultilevel"/>
    <w:tmpl w:val="5882D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8E7C0D"/>
    <w:multiLevelType w:val="hybridMultilevel"/>
    <w:tmpl w:val="16EC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26054B"/>
    <w:multiLevelType w:val="hybridMultilevel"/>
    <w:tmpl w:val="9C56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02DAA"/>
    <w:multiLevelType w:val="hybridMultilevel"/>
    <w:tmpl w:val="41C81DC4"/>
    <w:lvl w:ilvl="0" w:tplc="FFFFFFFF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C63C7E"/>
    <w:multiLevelType w:val="hybridMultilevel"/>
    <w:tmpl w:val="312A7788"/>
    <w:lvl w:ilvl="0" w:tplc="FFFFFFFF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B256C"/>
    <w:multiLevelType w:val="multilevel"/>
    <w:tmpl w:val="9E10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55B63E4"/>
    <w:multiLevelType w:val="hybridMultilevel"/>
    <w:tmpl w:val="32A2EA24"/>
    <w:lvl w:ilvl="0" w:tplc="0415000F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EB920">
      <w:start w:val="1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110675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A5D20"/>
    <w:multiLevelType w:val="hybridMultilevel"/>
    <w:tmpl w:val="D5908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24"/>
  </w:num>
  <w:num w:numId="5">
    <w:abstractNumId w:val="3"/>
  </w:num>
  <w:num w:numId="6">
    <w:abstractNumId w:val="4"/>
  </w:num>
  <w:num w:numId="7">
    <w:abstractNumId w:val="42"/>
  </w:num>
  <w:num w:numId="8">
    <w:abstractNumId w:val="44"/>
  </w:num>
  <w:num w:numId="9">
    <w:abstractNumId w:val="16"/>
  </w:num>
  <w:num w:numId="10">
    <w:abstractNumId w:val="41"/>
  </w:num>
  <w:num w:numId="11">
    <w:abstractNumId w:val="27"/>
  </w:num>
  <w:num w:numId="12">
    <w:abstractNumId w:val="10"/>
  </w:num>
  <w:num w:numId="13">
    <w:abstractNumId w:val="9"/>
  </w:num>
  <w:num w:numId="1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39"/>
  </w:num>
  <w:num w:numId="21">
    <w:abstractNumId w:val="3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7"/>
  </w:num>
  <w:num w:numId="25">
    <w:abstractNumId w:val="19"/>
  </w:num>
  <w:num w:numId="26">
    <w:abstractNumId w:val="11"/>
  </w:num>
  <w:num w:numId="27">
    <w:abstractNumId w:val="29"/>
  </w:num>
  <w:num w:numId="28">
    <w:abstractNumId w:val="32"/>
  </w:num>
  <w:num w:numId="29">
    <w:abstractNumId w:val="45"/>
  </w:num>
  <w:num w:numId="30">
    <w:abstractNumId w:val="22"/>
  </w:num>
  <w:num w:numId="31">
    <w:abstractNumId w:val="17"/>
  </w:num>
  <w:num w:numId="32">
    <w:abstractNumId w:val="14"/>
  </w:num>
  <w:num w:numId="33">
    <w:abstractNumId w:val="35"/>
  </w:num>
  <w:num w:numId="34">
    <w:abstractNumId w:val="40"/>
  </w:num>
  <w:num w:numId="35">
    <w:abstractNumId w:val="26"/>
  </w:num>
  <w:num w:numId="36">
    <w:abstractNumId w:val="20"/>
  </w:num>
  <w:num w:numId="37">
    <w:abstractNumId w:val="33"/>
  </w:num>
  <w:num w:numId="38">
    <w:abstractNumId w:val="23"/>
  </w:num>
  <w:num w:numId="39">
    <w:abstractNumId w:val="37"/>
  </w:num>
  <w:num w:numId="40">
    <w:abstractNumId w:val="11"/>
  </w:num>
  <w:num w:numId="41">
    <w:abstractNumId w:val="1"/>
  </w:num>
  <w:num w:numId="42">
    <w:abstractNumId w:val="3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0"/>
  </w:num>
  <w:num w:numId="46">
    <w:abstractNumId w:val="12"/>
  </w:num>
  <w:num w:numId="47">
    <w:abstractNumId w:val="36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7"/>
    <w:rsid w:val="00002F6E"/>
    <w:rsid w:val="00024E56"/>
    <w:rsid w:val="00052DB2"/>
    <w:rsid w:val="00062E54"/>
    <w:rsid w:val="000751AA"/>
    <w:rsid w:val="000837A9"/>
    <w:rsid w:val="000A3479"/>
    <w:rsid w:val="000B028D"/>
    <w:rsid w:val="000B4F73"/>
    <w:rsid w:val="000C15D2"/>
    <w:rsid w:val="000D1C18"/>
    <w:rsid w:val="000D30A8"/>
    <w:rsid w:val="000E77FD"/>
    <w:rsid w:val="0010191D"/>
    <w:rsid w:val="00102501"/>
    <w:rsid w:val="001056F3"/>
    <w:rsid w:val="00120A18"/>
    <w:rsid w:val="001430AA"/>
    <w:rsid w:val="00187F4E"/>
    <w:rsid w:val="001A118F"/>
    <w:rsid w:val="001A3854"/>
    <w:rsid w:val="001B3E6F"/>
    <w:rsid w:val="001B3F33"/>
    <w:rsid w:val="001B6020"/>
    <w:rsid w:val="001C3B02"/>
    <w:rsid w:val="001C4AD3"/>
    <w:rsid w:val="001D2EAB"/>
    <w:rsid w:val="001E623D"/>
    <w:rsid w:val="001F1038"/>
    <w:rsid w:val="001F6055"/>
    <w:rsid w:val="0023163E"/>
    <w:rsid w:val="00257235"/>
    <w:rsid w:val="0026067A"/>
    <w:rsid w:val="002643D4"/>
    <w:rsid w:val="00272D06"/>
    <w:rsid w:val="002815A7"/>
    <w:rsid w:val="002831C5"/>
    <w:rsid w:val="00291550"/>
    <w:rsid w:val="00296C6A"/>
    <w:rsid w:val="002A51ED"/>
    <w:rsid w:val="002D18FD"/>
    <w:rsid w:val="002D3C19"/>
    <w:rsid w:val="002D3EB4"/>
    <w:rsid w:val="002E2C24"/>
    <w:rsid w:val="002E5264"/>
    <w:rsid w:val="002E7E49"/>
    <w:rsid w:val="002F67CC"/>
    <w:rsid w:val="002F6F76"/>
    <w:rsid w:val="00302CB1"/>
    <w:rsid w:val="00304D55"/>
    <w:rsid w:val="003310D6"/>
    <w:rsid w:val="00331E42"/>
    <w:rsid w:val="003337D5"/>
    <w:rsid w:val="003462A7"/>
    <w:rsid w:val="00357873"/>
    <w:rsid w:val="0036228B"/>
    <w:rsid w:val="00363F0C"/>
    <w:rsid w:val="003640F2"/>
    <w:rsid w:val="0036788E"/>
    <w:rsid w:val="003742C3"/>
    <w:rsid w:val="00380109"/>
    <w:rsid w:val="00387662"/>
    <w:rsid w:val="0039345F"/>
    <w:rsid w:val="00395EA3"/>
    <w:rsid w:val="003A4AB4"/>
    <w:rsid w:val="003B73BA"/>
    <w:rsid w:val="003C4D32"/>
    <w:rsid w:val="003D3A00"/>
    <w:rsid w:val="003F0883"/>
    <w:rsid w:val="00405492"/>
    <w:rsid w:val="004057D5"/>
    <w:rsid w:val="00410A4F"/>
    <w:rsid w:val="00423D78"/>
    <w:rsid w:val="004422FE"/>
    <w:rsid w:val="00466661"/>
    <w:rsid w:val="004732CA"/>
    <w:rsid w:val="00473D47"/>
    <w:rsid w:val="00476498"/>
    <w:rsid w:val="00487581"/>
    <w:rsid w:val="00495882"/>
    <w:rsid w:val="004A1252"/>
    <w:rsid w:val="004A13DE"/>
    <w:rsid w:val="004A637F"/>
    <w:rsid w:val="004A75EA"/>
    <w:rsid w:val="004B0267"/>
    <w:rsid w:val="004B4368"/>
    <w:rsid w:val="004C6976"/>
    <w:rsid w:val="004C76C3"/>
    <w:rsid w:val="004E1A2C"/>
    <w:rsid w:val="004E1A31"/>
    <w:rsid w:val="004F4CA7"/>
    <w:rsid w:val="00506ACD"/>
    <w:rsid w:val="005126FA"/>
    <w:rsid w:val="0051645A"/>
    <w:rsid w:val="00523A79"/>
    <w:rsid w:val="005345DD"/>
    <w:rsid w:val="00541D54"/>
    <w:rsid w:val="0055097E"/>
    <w:rsid w:val="005616C1"/>
    <w:rsid w:val="00564D96"/>
    <w:rsid w:val="0056565D"/>
    <w:rsid w:val="00571D2A"/>
    <w:rsid w:val="00574AC8"/>
    <w:rsid w:val="00577508"/>
    <w:rsid w:val="00595C8D"/>
    <w:rsid w:val="005A0FCD"/>
    <w:rsid w:val="005A4E42"/>
    <w:rsid w:val="005C3B68"/>
    <w:rsid w:val="005C72E9"/>
    <w:rsid w:val="005D7F40"/>
    <w:rsid w:val="005E4942"/>
    <w:rsid w:val="00634747"/>
    <w:rsid w:val="006548CE"/>
    <w:rsid w:val="0065570C"/>
    <w:rsid w:val="0065658D"/>
    <w:rsid w:val="00656B28"/>
    <w:rsid w:val="0066546A"/>
    <w:rsid w:val="00665C8C"/>
    <w:rsid w:val="00673F19"/>
    <w:rsid w:val="00674D28"/>
    <w:rsid w:val="00675F32"/>
    <w:rsid w:val="00681099"/>
    <w:rsid w:val="0068595F"/>
    <w:rsid w:val="00691594"/>
    <w:rsid w:val="006A0374"/>
    <w:rsid w:val="006A0A79"/>
    <w:rsid w:val="006B0ED3"/>
    <w:rsid w:val="006C22CD"/>
    <w:rsid w:val="006C3F75"/>
    <w:rsid w:val="006C7BBB"/>
    <w:rsid w:val="006E1AC7"/>
    <w:rsid w:val="006F27A0"/>
    <w:rsid w:val="006F3F25"/>
    <w:rsid w:val="007045B3"/>
    <w:rsid w:val="007056B7"/>
    <w:rsid w:val="00723A92"/>
    <w:rsid w:val="00734FDD"/>
    <w:rsid w:val="007364AC"/>
    <w:rsid w:val="0075225E"/>
    <w:rsid w:val="0075574E"/>
    <w:rsid w:val="00756D57"/>
    <w:rsid w:val="00760FA8"/>
    <w:rsid w:val="00764AA2"/>
    <w:rsid w:val="00770A3B"/>
    <w:rsid w:val="00776798"/>
    <w:rsid w:val="00784015"/>
    <w:rsid w:val="007A384E"/>
    <w:rsid w:val="007A3B9E"/>
    <w:rsid w:val="007A73D1"/>
    <w:rsid w:val="007B2287"/>
    <w:rsid w:val="007B60BD"/>
    <w:rsid w:val="007C3D4B"/>
    <w:rsid w:val="007C4359"/>
    <w:rsid w:val="007C5EED"/>
    <w:rsid w:val="007D541A"/>
    <w:rsid w:val="007E53A6"/>
    <w:rsid w:val="007F27E1"/>
    <w:rsid w:val="007F6AE3"/>
    <w:rsid w:val="00807C3C"/>
    <w:rsid w:val="00811500"/>
    <w:rsid w:val="00814906"/>
    <w:rsid w:val="00815357"/>
    <w:rsid w:val="00815D39"/>
    <w:rsid w:val="0082140F"/>
    <w:rsid w:val="00854062"/>
    <w:rsid w:val="00862417"/>
    <w:rsid w:val="00876476"/>
    <w:rsid w:val="00891D20"/>
    <w:rsid w:val="008A4B40"/>
    <w:rsid w:val="008A55D3"/>
    <w:rsid w:val="008C507F"/>
    <w:rsid w:val="008C5839"/>
    <w:rsid w:val="008E0CC7"/>
    <w:rsid w:val="008E146F"/>
    <w:rsid w:val="008E5C78"/>
    <w:rsid w:val="008F17E1"/>
    <w:rsid w:val="008F2510"/>
    <w:rsid w:val="008F370F"/>
    <w:rsid w:val="009007BA"/>
    <w:rsid w:val="00902529"/>
    <w:rsid w:val="0090372D"/>
    <w:rsid w:val="009065B4"/>
    <w:rsid w:val="00921877"/>
    <w:rsid w:val="00944C58"/>
    <w:rsid w:val="00945A3B"/>
    <w:rsid w:val="00961A9F"/>
    <w:rsid w:val="00963A5A"/>
    <w:rsid w:val="0096543A"/>
    <w:rsid w:val="00976A68"/>
    <w:rsid w:val="0097720E"/>
    <w:rsid w:val="00994FF3"/>
    <w:rsid w:val="009A00F3"/>
    <w:rsid w:val="009A1DAE"/>
    <w:rsid w:val="009B463E"/>
    <w:rsid w:val="009B745A"/>
    <w:rsid w:val="009B7E76"/>
    <w:rsid w:val="009C7EE5"/>
    <w:rsid w:val="009D032C"/>
    <w:rsid w:val="009D4F60"/>
    <w:rsid w:val="009F0289"/>
    <w:rsid w:val="009F24BE"/>
    <w:rsid w:val="009F4CD8"/>
    <w:rsid w:val="009F6144"/>
    <w:rsid w:val="00A019FC"/>
    <w:rsid w:val="00A23FA5"/>
    <w:rsid w:val="00A30837"/>
    <w:rsid w:val="00A37781"/>
    <w:rsid w:val="00A37C38"/>
    <w:rsid w:val="00A42E20"/>
    <w:rsid w:val="00A46161"/>
    <w:rsid w:val="00A57521"/>
    <w:rsid w:val="00A64C22"/>
    <w:rsid w:val="00A859F5"/>
    <w:rsid w:val="00AA0532"/>
    <w:rsid w:val="00AA1549"/>
    <w:rsid w:val="00AA5112"/>
    <w:rsid w:val="00AB62BC"/>
    <w:rsid w:val="00AC0126"/>
    <w:rsid w:val="00AC3F77"/>
    <w:rsid w:val="00AD51CA"/>
    <w:rsid w:val="00B0210D"/>
    <w:rsid w:val="00B025CE"/>
    <w:rsid w:val="00B07CD9"/>
    <w:rsid w:val="00B12B4C"/>
    <w:rsid w:val="00B1503E"/>
    <w:rsid w:val="00B1790E"/>
    <w:rsid w:val="00B24E9F"/>
    <w:rsid w:val="00B26903"/>
    <w:rsid w:val="00B4287B"/>
    <w:rsid w:val="00B44D23"/>
    <w:rsid w:val="00B45682"/>
    <w:rsid w:val="00B6039C"/>
    <w:rsid w:val="00B60464"/>
    <w:rsid w:val="00B637CA"/>
    <w:rsid w:val="00B83635"/>
    <w:rsid w:val="00B85FC9"/>
    <w:rsid w:val="00B860DD"/>
    <w:rsid w:val="00BA0B7B"/>
    <w:rsid w:val="00BB0FB0"/>
    <w:rsid w:val="00BC4E06"/>
    <w:rsid w:val="00BD3E7A"/>
    <w:rsid w:val="00BF7B8C"/>
    <w:rsid w:val="00C01766"/>
    <w:rsid w:val="00C050D9"/>
    <w:rsid w:val="00C17207"/>
    <w:rsid w:val="00C20E9F"/>
    <w:rsid w:val="00C248E6"/>
    <w:rsid w:val="00C2573B"/>
    <w:rsid w:val="00C31CFC"/>
    <w:rsid w:val="00C33319"/>
    <w:rsid w:val="00C736B3"/>
    <w:rsid w:val="00C962AA"/>
    <w:rsid w:val="00CA4B5D"/>
    <w:rsid w:val="00CD1DE5"/>
    <w:rsid w:val="00CD6BD6"/>
    <w:rsid w:val="00CE40B7"/>
    <w:rsid w:val="00CE4D54"/>
    <w:rsid w:val="00CE531F"/>
    <w:rsid w:val="00CF0BE4"/>
    <w:rsid w:val="00D03190"/>
    <w:rsid w:val="00D07490"/>
    <w:rsid w:val="00D10546"/>
    <w:rsid w:val="00D307FA"/>
    <w:rsid w:val="00D50046"/>
    <w:rsid w:val="00D62FB3"/>
    <w:rsid w:val="00D67957"/>
    <w:rsid w:val="00D73905"/>
    <w:rsid w:val="00D856C9"/>
    <w:rsid w:val="00D877D7"/>
    <w:rsid w:val="00D907A6"/>
    <w:rsid w:val="00D92FF1"/>
    <w:rsid w:val="00DB099E"/>
    <w:rsid w:val="00DC39BC"/>
    <w:rsid w:val="00DD79B4"/>
    <w:rsid w:val="00DF5E2C"/>
    <w:rsid w:val="00E10371"/>
    <w:rsid w:val="00E40FCA"/>
    <w:rsid w:val="00E51417"/>
    <w:rsid w:val="00E54BE3"/>
    <w:rsid w:val="00E71005"/>
    <w:rsid w:val="00E915E7"/>
    <w:rsid w:val="00E95C7B"/>
    <w:rsid w:val="00EA3F08"/>
    <w:rsid w:val="00EA535C"/>
    <w:rsid w:val="00EA737B"/>
    <w:rsid w:val="00EB0A89"/>
    <w:rsid w:val="00EB117C"/>
    <w:rsid w:val="00EB2CC1"/>
    <w:rsid w:val="00EB7616"/>
    <w:rsid w:val="00EC0054"/>
    <w:rsid w:val="00ED6F18"/>
    <w:rsid w:val="00EE26B5"/>
    <w:rsid w:val="00EE6532"/>
    <w:rsid w:val="00EE6BAC"/>
    <w:rsid w:val="00EF1E54"/>
    <w:rsid w:val="00EF1EC1"/>
    <w:rsid w:val="00EF2488"/>
    <w:rsid w:val="00F05817"/>
    <w:rsid w:val="00F13896"/>
    <w:rsid w:val="00F16327"/>
    <w:rsid w:val="00F268B3"/>
    <w:rsid w:val="00F36B26"/>
    <w:rsid w:val="00F42683"/>
    <w:rsid w:val="00F42966"/>
    <w:rsid w:val="00F42D77"/>
    <w:rsid w:val="00F53AFD"/>
    <w:rsid w:val="00F6403F"/>
    <w:rsid w:val="00F67228"/>
    <w:rsid w:val="00F77216"/>
    <w:rsid w:val="00F778D2"/>
    <w:rsid w:val="00F92CEF"/>
    <w:rsid w:val="00FB0CD5"/>
    <w:rsid w:val="00FB70D7"/>
    <w:rsid w:val="00FC0609"/>
    <w:rsid w:val="00FC766B"/>
    <w:rsid w:val="00FD51B7"/>
    <w:rsid w:val="00FE1D5B"/>
    <w:rsid w:val="00FE52CA"/>
    <w:rsid w:val="00FE738A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5E0B"/>
  <w15:docId w15:val="{68BD3351-4B01-4509-A6CE-4167D2F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C3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C3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C3F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C3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F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C3F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C3F77"/>
    <w:rPr>
      <w:rFonts w:ascii="Calibri" w:eastAsia="Times New Roman" w:hAnsi="Calibri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C3F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3F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C3F77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C3F7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AC3F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AC3F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C3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C3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3F77"/>
  </w:style>
  <w:style w:type="paragraph" w:styleId="Tekstpodstawowywcity2">
    <w:name w:val="Body Text Indent 2"/>
    <w:basedOn w:val="Normalny"/>
    <w:link w:val="Tekstpodstawowywcity2Znak"/>
    <w:rsid w:val="00AC3F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AC3F77"/>
  </w:style>
  <w:style w:type="paragraph" w:styleId="Akapitzlist">
    <w:name w:val="List Paragraph"/>
    <w:basedOn w:val="Normalny"/>
    <w:uiPriority w:val="99"/>
    <w:qFormat/>
    <w:rsid w:val="00F42966"/>
    <w:pPr>
      <w:ind w:left="720"/>
      <w:contextualSpacing/>
    </w:pPr>
  </w:style>
  <w:style w:type="paragraph" w:styleId="Lista">
    <w:name w:val="List"/>
    <w:basedOn w:val="Normalny"/>
    <w:rsid w:val="00F42966"/>
    <w:pPr>
      <w:ind w:left="283" w:hanging="283"/>
    </w:pPr>
  </w:style>
  <w:style w:type="table" w:styleId="Tabela-Siatka">
    <w:name w:val="Table Grid"/>
    <w:basedOn w:val="Standardowy"/>
    <w:uiPriority w:val="59"/>
    <w:rsid w:val="001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95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963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00F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F05817"/>
    <w:pPr>
      <w:spacing w:after="0" w:line="240" w:lineRule="auto"/>
      <w:jc w:val="both"/>
    </w:pPr>
    <w:rPr>
      <w:rFonts w:ascii="Georgia" w:hAnsi="Georgi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58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58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4B30-7A14-4F10-8B99-3579921F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Monika Michalak</cp:lastModifiedBy>
  <cp:revision>24</cp:revision>
  <cp:lastPrinted>2018-06-12T08:50:00Z</cp:lastPrinted>
  <dcterms:created xsi:type="dcterms:W3CDTF">2022-06-10T10:24:00Z</dcterms:created>
  <dcterms:modified xsi:type="dcterms:W3CDTF">2025-05-28T10:45:00Z</dcterms:modified>
</cp:coreProperties>
</file>