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26B5D4F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B744D">
        <w:rPr>
          <w:rFonts w:ascii="Verdana" w:hAnsi="Verdana"/>
        </w:rPr>
        <w:t>30.10.2025r.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0B04AFB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BB744D">
        <w:rPr>
          <w:b/>
        </w:rPr>
        <w:t>terapii środowiskowej.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4EFE6DED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B744D">
        <w:rPr>
          <w:rFonts w:ascii="Georgia" w:hAnsi="Georgia"/>
          <w:sz w:val="22"/>
          <w:szCs w:val="22"/>
        </w:rPr>
        <w:t>30.10.2025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608AE799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B744D">
        <w:rPr>
          <w:rFonts w:ascii="Georgia" w:hAnsi="Georgia"/>
          <w:sz w:val="22"/>
          <w:szCs w:val="22"/>
        </w:rPr>
        <w:t>Ewelina Karpińska terapeuta środowiskowy”, 93-328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1CBF43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865AB84" w14:textId="4F71BB3F" w:rsidR="00BB744D" w:rsidRDefault="00BB744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92946FD" w14:textId="77777777" w:rsidR="00BB744D" w:rsidRDefault="00BB744D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BE3C1E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B744D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B744D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B744D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2025-10-30T12:08:00Z</dcterms:created>
  <dcterms:modified xsi:type="dcterms:W3CDTF">2025-10-30T12:08:00Z</dcterms:modified>
</cp:coreProperties>
</file>