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6EE1855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335E1E">
        <w:rPr>
          <w:rFonts w:ascii="Verdana" w:hAnsi="Verdana"/>
        </w:rPr>
        <w:t>15.12.2025r.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C983D4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335E1E">
        <w:rPr>
          <w:b/>
        </w:rPr>
        <w:t>onkologii i hematologii dziecięcej.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752F0A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335E1E">
        <w:rPr>
          <w:rFonts w:ascii="Georgia" w:hAnsi="Georgia"/>
          <w:sz w:val="22"/>
          <w:szCs w:val="22"/>
        </w:rPr>
        <w:t>15.12.2025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335E1E">
        <w:rPr>
          <w:rFonts w:ascii="Georgia" w:hAnsi="Georgia"/>
          <w:sz w:val="22"/>
          <w:szCs w:val="22"/>
        </w:rPr>
        <w:t>wpłynęły 2 oferty.</w:t>
      </w:r>
      <w:r>
        <w:rPr>
          <w:rFonts w:ascii="Georgia" w:hAnsi="Georgia"/>
          <w:sz w:val="22"/>
          <w:szCs w:val="22"/>
        </w:rPr>
        <w:t xml:space="preserve"> </w:t>
      </w:r>
    </w:p>
    <w:p w14:paraId="7C652EAD" w14:textId="33E8059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672B95D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1E0458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335E1E">
        <w:rPr>
          <w:rFonts w:ascii="Georgia" w:hAnsi="Georgia"/>
          <w:sz w:val="22"/>
          <w:szCs w:val="22"/>
        </w:rPr>
        <w:t>Praktyka Lekarska Małgorzata Stolarska”, 92-328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C62C275" w:rsidR="00901291" w:rsidRDefault="00335E1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</w:t>
      </w:r>
      <w:r>
        <w:rPr>
          <w:rFonts w:ascii="Georgia" w:hAnsi="Georgia"/>
          <w:sz w:val="22"/>
          <w:szCs w:val="22"/>
        </w:rPr>
        <w:t>„Specjalistyczna Praktyka Lekarska Jarosław Zieliński”, 91-495 Łódź</w:t>
      </w:r>
    </w:p>
    <w:p w14:paraId="35D0E564" w14:textId="29FCEED1" w:rsidR="00335E1E" w:rsidRDefault="00335E1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7629852" w14:textId="4C7A7E2B" w:rsidR="00335E1E" w:rsidRDefault="00335E1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247258B" w14:textId="77777777" w:rsidR="00335E1E" w:rsidRDefault="00335E1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6A2D02E6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335E1E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335E1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35E1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2025-12-15T13:55:00Z</dcterms:created>
  <dcterms:modified xsi:type="dcterms:W3CDTF">2025-12-15T13:55:00Z</dcterms:modified>
</cp:coreProperties>
</file>