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97EE5C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B1B56">
        <w:rPr>
          <w:rFonts w:ascii="Verdana" w:hAnsi="Verdana"/>
        </w:rPr>
        <w:t>06.05.2026r.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C42F2D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B1B56">
        <w:rPr>
          <w:b/>
        </w:rPr>
        <w:t>ginekologii i położnictwa.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704DCF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B1B56">
        <w:rPr>
          <w:rFonts w:ascii="Georgia" w:hAnsi="Georgia"/>
          <w:sz w:val="22"/>
          <w:szCs w:val="22"/>
        </w:rPr>
        <w:t>06.05.2026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F756DD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B1B56">
        <w:rPr>
          <w:rFonts w:ascii="Georgia" w:hAnsi="Georgia"/>
          <w:sz w:val="22"/>
          <w:szCs w:val="22"/>
        </w:rPr>
        <w:t>Indywidualna Praktyka Lekarska Dominik Janicki”, 90-368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09D58E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F677A38" w14:textId="2FC87EF4" w:rsidR="00BB1B56" w:rsidRDefault="00BB1B5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9BB15FE" w14:textId="77777777" w:rsidR="00BB1B56" w:rsidRDefault="00BB1B5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702AE8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B1B5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1174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B1B56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2026-05-06T09:48:00Z</dcterms:created>
  <dcterms:modified xsi:type="dcterms:W3CDTF">2026-05-06T09:48:00Z</dcterms:modified>
</cp:coreProperties>
</file>