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25E447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805BE">
        <w:rPr>
          <w:rFonts w:ascii="Verdana" w:hAnsi="Verdana"/>
        </w:rPr>
        <w:t>20.05.2026r.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D0E4C5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4805BE">
        <w:rPr>
          <w:rFonts w:ascii="Georgia" w:hAnsi="Georgia"/>
          <w:sz w:val="22"/>
          <w:szCs w:val="22"/>
        </w:rPr>
        <w:t>Poradni ginekologiczno-położniczej.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110727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805BE">
        <w:rPr>
          <w:rFonts w:ascii="Georgia" w:hAnsi="Georgia"/>
          <w:sz w:val="22"/>
          <w:szCs w:val="22"/>
        </w:rPr>
        <w:t>20.05.2026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444D668" w14:textId="77777777" w:rsidR="004805BE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805BE">
        <w:rPr>
          <w:rFonts w:ascii="Georgia" w:hAnsi="Georgia"/>
          <w:sz w:val="22"/>
          <w:szCs w:val="22"/>
        </w:rPr>
        <w:t xml:space="preserve">Wojciech Gontarek </w:t>
      </w:r>
      <w:proofErr w:type="spellStart"/>
      <w:r w:rsidR="004805BE">
        <w:rPr>
          <w:rFonts w:ascii="Georgia" w:hAnsi="Georgia"/>
          <w:sz w:val="22"/>
          <w:szCs w:val="22"/>
        </w:rPr>
        <w:t>Gravita</w:t>
      </w:r>
      <w:proofErr w:type="spellEnd"/>
      <w:r w:rsidR="004805BE">
        <w:rPr>
          <w:rFonts w:ascii="Georgia" w:hAnsi="Georgia"/>
          <w:sz w:val="22"/>
          <w:szCs w:val="22"/>
        </w:rPr>
        <w:t xml:space="preserve"> Diagnostyka i Leczenie Niepłodności”, </w:t>
      </w:r>
    </w:p>
    <w:p w14:paraId="42D218F2" w14:textId="209E16BB" w:rsidR="00901291" w:rsidRDefault="004805BE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91-347 Łódź</w:t>
      </w:r>
    </w:p>
    <w:p w14:paraId="1113E2F2" w14:textId="1F03898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5BF1112" w14:textId="6DFEDF5D" w:rsidR="004805BE" w:rsidRDefault="004805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5CBEE57" w14:textId="5B836DAC" w:rsidR="004805BE" w:rsidRDefault="004805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C13592B" w14:textId="77777777" w:rsidR="004805BE" w:rsidRDefault="004805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BDAB74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805B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805B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805B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2026-05-20T12:40:00Z</dcterms:created>
  <dcterms:modified xsi:type="dcterms:W3CDTF">2026-05-20T12:40:00Z</dcterms:modified>
</cp:coreProperties>
</file>