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F88B94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5028A">
        <w:rPr>
          <w:rFonts w:ascii="Verdana" w:hAnsi="Verdana"/>
        </w:rPr>
        <w:t>29</w:t>
      </w:r>
      <w:r w:rsidR="00D3469A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610513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5028A">
        <w:rPr>
          <w:b/>
        </w:rPr>
        <w:t>kardiologii 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E3D0AC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5028A">
        <w:rPr>
          <w:rFonts w:ascii="Georgia" w:hAnsi="Georgia"/>
          <w:sz w:val="22"/>
          <w:szCs w:val="22"/>
        </w:rPr>
        <w:t>29.05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7FEB70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5028A">
        <w:rPr>
          <w:rFonts w:ascii="Georgia" w:hAnsi="Georgia"/>
          <w:sz w:val="22"/>
          <w:szCs w:val="22"/>
        </w:rPr>
        <w:t>Indywidualna Praktyka Lekarska Paulina Wieczorkiewicz”, 94-126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5028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5028A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2026-05-27T09:45:00Z</dcterms:created>
  <dcterms:modified xsi:type="dcterms:W3CDTF">2026-05-27T09:45:00Z</dcterms:modified>
</cp:coreProperties>
</file>