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265BD5DA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A1DC2">
        <w:rPr>
          <w:rFonts w:ascii="Verdana" w:hAnsi="Verdana"/>
        </w:rPr>
        <w:t>23.06.2026r.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10D65EBF" w:rsidR="00901291" w:rsidRPr="00EA1DC2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EA1DC2" w:rsidRPr="00EA1DC2">
        <w:t>ambulatoryjnej opieki lekarskiej z zakresu kardiologii w Poradni Kardiologicznej (pakiet 1) i nadzoru nad funkcjonowaniem medyczno-organizacyjnym Szpitala poprzez pełnienie funkcji Zastępcy Dyrektor ds. Medyczno-Organizacyjnych</w:t>
      </w:r>
      <w:r w:rsidR="00EA1DC2">
        <w:t xml:space="preserve"> (pakiet 2).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1B39E14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EA1DC2">
        <w:rPr>
          <w:rFonts w:ascii="Georgia" w:hAnsi="Georgia"/>
          <w:sz w:val="22"/>
          <w:szCs w:val="22"/>
        </w:rPr>
        <w:t xml:space="preserve">23.06.2026r.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25C634B9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EA1DC2">
        <w:rPr>
          <w:rFonts w:ascii="Georgia" w:hAnsi="Georgia"/>
          <w:sz w:val="22"/>
          <w:szCs w:val="22"/>
        </w:rPr>
        <w:t>Paweł Ptaszyński – Badania i Konsultacje Medyczne”, 94-118 Ł</w:t>
      </w:r>
      <w:bookmarkStart w:id="0" w:name="_GoBack"/>
      <w:bookmarkEnd w:id="0"/>
      <w:r w:rsidR="00EA1DC2">
        <w:rPr>
          <w:rFonts w:ascii="Georgia" w:hAnsi="Georgia"/>
          <w:sz w:val="22"/>
          <w:szCs w:val="22"/>
        </w:rPr>
        <w:t>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A1DC2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EA1DC2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2026-06-23T09:28:00Z</dcterms:created>
  <dcterms:modified xsi:type="dcterms:W3CDTF">2026-06-23T09:28:00Z</dcterms:modified>
</cp:coreProperties>
</file>