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2ACAB9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347C2">
        <w:rPr>
          <w:rFonts w:ascii="Verdana" w:hAnsi="Verdana"/>
        </w:rPr>
        <w:t>29.06</w:t>
      </w:r>
      <w:r w:rsidR="00D3469A">
        <w:rPr>
          <w:rFonts w:ascii="Verdana" w:hAnsi="Verdana"/>
        </w:rPr>
        <w:t>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0D798B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347C2">
        <w:rPr>
          <w:b/>
        </w:rPr>
        <w:t>psychologii/psychoterapii.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79E561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347C2">
        <w:rPr>
          <w:rFonts w:ascii="Georgia" w:hAnsi="Georgia"/>
          <w:sz w:val="22"/>
          <w:szCs w:val="22"/>
        </w:rPr>
        <w:t>29.06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A9EA27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347C2">
        <w:rPr>
          <w:rFonts w:ascii="Georgia" w:hAnsi="Georgia"/>
          <w:sz w:val="22"/>
          <w:szCs w:val="22"/>
        </w:rPr>
        <w:t>Monika Nowak Pracownia Psychoterapii i Rozwoju Bufor”, 92-434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347C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347C2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2026-06-29T09:37:00Z</dcterms:created>
  <dcterms:modified xsi:type="dcterms:W3CDTF">2026-06-29T09:37:00Z</dcterms:modified>
</cp:coreProperties>
</file>