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07E4BBD8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5243DB">
        <w:rPr>
          <w:rFonts w:ascii="Verdana" w:hAnsi="Verdana"/>
        </w:rPr>
        <w:t>14.08</w:t>
      </w:r>
      <w:r w:rsidR="00D3469A">
        <w:rPr>
          <w:rFonts w:ascii="Verdana" w:hAnsi="Verdana"/>
        </w:rPr>
        <w:t>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6D7704FD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5243DB">
        <w:rPr>
          <w:b/>
        </w:rPr>
        <w:t>kardiochirurgii.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0A73CD18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5243DB">
        <w:rPr>
          <w:rFonts w:ascii="Georgia" w:hAnsi="Georgia"/>
          <w:sz w:val="22"/>
          <w:szCs w:val="22"/>
        </w:rPr>
        <w:t>14.08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50B212DE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5243DB">
        <w:rPr>
          <w:rFonts w:ascii="Georgia" w:hAnsi="Georgia"/>
          <w:sz w:val="22"/>
          <w:szCs w:val="22"/>
        </w:rPr>
        <w:t>Indywidualna Praktyka Lekarska Arkadiusz Niedźwiecki”, 12-100 Szczytno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5243DB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3DB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2026-08-14T09:21:00Z</dcterms:created>
  <dcterms:modified xsi:type="dcterms:W3CDTF">2026-08-14T09:21:00Z</dcterms:modified>
</cp:coreProperties>
</file>