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14AB2900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397A73">
        <w:rPr>
          <w:rFonts w:ascii="Verdana" w:hAnsi="Verdana"/>
        </w:rPr>
        <w:t>20.08.2026r.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6AAF7EEC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397A73">
        <w:rPr>
          <w:b/>
        </w:rPr>
        <w:t>psychiatrii.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793C0DD0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397A73">
        <w:rPr>
          <w:rFonts w:ascii="Georgia" w:hAnsi="Georgia"/>
          <w:sz w:val="22"/>
          <w:szCs w:val="22"/>
        </w:rPr>
        <w:t>19.08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71EF6A8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397A73">
        <w:rPr>
          <w:rFonts w:ascii="Georgia" w:hAnsi="Georgia"/>
          <w:sz w:val="22"/>
          <w:szCs w:val="22"/>
        </w:rPr>
        <w:t>Kamila Wcisła – Zamojska Specjalistyczna Praktyka Lekarska”, 90-057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397A73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397A73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2026-08-20T07:46:00Z</dcterms:created>
  <dcterms:modified xsi:type="dcterms:W3CDTF">2026-08-20T07:46:00Z</dcterms:modified>
</cp:coreProperties>
</file>