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49D758BB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AA0892">
        <w:rPr>
          <w:rFonts w:ascii="Verdana" w:hAnsi="Verdana"/>
        </w:rPr>
        <w:t>02.10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2298FFB6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AA0892">
        <w:rPr>
          <w:b/>
        </w:rPr>
        <w:t>nefrologii.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4D4B3080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AA0892">
        <w:rPr>
          <w:rFonts w:ascii="Georgia" w:hAnsi="Georgia"/>
          <w:sz w:val="22"/>
          <w:szCs w:val="22"/>
        </w:rPr>
        <w:t>02.10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2FC97D8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AA0892">
        <w:rPr>
          <w:rFonts w:ascii="Georgia" w:hAnsi="Georgia"/>
          <w:sz w:val="22"/>
          <w:szCs w:val="22"/>
        </w:rPr>
        <w:t>Zdrowie Marta Jagodzińska”, 07-100 Węgrów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AA0892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0892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2026-10-01T08:14:00Z</dcterms:created>
  <dcterms:modified xsi:type="dcterms:W3CDTF">2026-10-01T08:14:00Z</dcterms:modified>
</cp:coreProperties>
</file>