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39" w:rsidRPr="00BA74B9" w:rsidRDefault="00D90F39" w:rsidP="00D90F39">
      <w:pPr>
        <w:widowControl w:val="0"/>
        <w:spacing w:line="3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BA74B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Pytania i odpowiedzi</w:t>
      </w:r>
    </w:p>
    <w:p w:rsidR="004D6FB7" w:rsidRPr="00BA74B9" w:rsidRDefault="004D6FB7" w:rsidP="004D6FB7">
      <w:pPr>
        <w:widowControl w:val="0"/>
        <w:spacing w:line="300" w:lineRule="atLeast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dotyczy:  </w:t>
      </w:r>
      <w:r w:rsidRPr="00BA74B9">
        <w:rPr>
          <w:rFonts w:ascii="Times New Roman" w:hAnsi="Times New Roman" w:cs="Times New Roman"/>
          <w:color w:val="000000"/>
          <w:sz w:val="24"/>
          <w:szCs w:val="24"/>
          <w:lang w:val="pl-PL"/>
        </w:rPr>
        <w:t>dostawa implantów ortopedycznych</w:t>
      </w:r>
    </w:p>
    <w:p w:rsidR="004D6FB7" w:rsidRPr="00BA74B9" w:rsidRDefault="004D6FB7" w:rsidP="004D6FB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A74B9">
        <w:rPr>
          <w:rFonts w:ascii="Times New Roman" w:hAnsi="Times New Roman" w:cs="Times New Roman"/>
          <w:sz w:val="24"/>
          <w:szCs w:val="24"/>
          <w:lang w:val="pl-PL"/>
        </w:rPr>
        <w:t>Znak sprawy: ZP/72/2018</w:t>
      </w:r>
    </w:p>
    <w:p w:rsidR="004D6FB7" w:rsidRPr="00BA74B9" w:rsidRDefault="004D6FB7" w:rsidP="004D6FB7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</w:pPr>
    </w:p>
    <w:p w:rsidR="004D6FB7" w:rsidRPr="00BA74B9" w:rsidRDefault="004D6FB7" w:rsidP="004D6FB7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</w:pPr>
    </w:p>
    <w:p w:rsidR="004D6FB7" w:rsidRPr="00BA74B9" w:rsidRDefault="004D6FB7" w:rsidP="004D6FB7">
      <w:pPr>
        <w:pStyle w:val="Default"/>
        <w:ind w:left="1134" w:hanging="1134"/>
        <w:rPr>
          <w:rFonts w:ascii="Times New Roman" w:hAnsi="Times New Roman" w:cs="Times New Roman"/>
          <w:b/>
          <w:u w:val="single"/>
        </w:rPr>
      </w:pPr>
      <w:r w:rsidRPr="00BA74B9">
        <w:rPr>
          <w:rFonts w:ascii="Times New Roman" w:hAnsi="Times New Roman" w:cs="Times New Roman"/>
          <w:b/>
          <w:u w:val="single"/>
        </w:rPr>
        <w:t xml:space="preserve">Pytanie 1, dot. Pakietu nr 3:                                                      </w:t>
      </w:r>
    </w:p>
    <w:p w:rsidR="004D6FB7" w:rsidRPr="00BA74B9" w:rsidRDefault="004D6FB7" w:rsidP="004D6F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74B9">
        <w:rPr>
          <w:rFonts w:ascii="Times New Roman" w:hAnsi="Times New Roman" w:cs="Times New Roman"/>
          <w:sz w:val="24"/>
          <w:szCs w:val="24"/>
          <w:lang w:val="pl-PL"/>
        </w:rPr>
        <w:t>Czy Zamawiający wyrazi zgodę na zaoferowanie poniższych produktów jako rozwiązania równoważnego do implantów opisanych Pakiecie 3?</w:t>
      </w:r>
    </w:p>
    <w:p w:rsidR="004D6FB7" w:rsidRPr="00BA74B9" w:rsidRDefault="004D6FB7" w:rsidP="004D6FB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9214"/>
      </w:tblGrid>
      <w:tr w:rsidR="004D6FB7" w:rsidRPr="00BA74B9" w:rsidTr="008A14A4">
        <w:trPr>
          <w:trHeight w:val="31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FF" w:fill="DDEBF7"/>
            <w:vAlign w:val="center"/>
            <w:hideMark/>
          </w:tcPr>
          <w:p w:rsidR="004D6FB7" w:rsidRPr="00BA74B9" w:rsidRDefault="004D6FB7" w:rsidP="008A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D6FB7" w:rsidRPr="00BA74B9" w:rsidRDefault="004D6FB7" w:rsidP="008A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produktu</w:t>
            </w:r>
          </w:p>
        </w:tc>
      </w:tr>
      <w:tr w:rsidR="004D6FB7" w:rsidRPr="00BA74B9" w:rsidTr="008A14A4">
        <w:trPr>
          <w:trHeight w:val="55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6FB7" w:rsidRPr="00BA74B9" w:rsidTr="008A14A4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0" w:fill="FFFFFF"/>
            <w:vAlign w:val="center"/>
            <w:hideMark/>
          </w:tcPr>
          <w:p w:rsidR="004D6FB7" w:rsidRPr="00BA74B9" w:rsidRDefault="004D6FB7" w:rsidP="008A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Tytanowa, kaniulowana, bezgłowowa śruba kompresyjna:</w:t>
            </w:r>
          </w:p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 średnica 2,5mm i długoś 8-34mm</w:t>
            </w:r>
          </w:p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- średnica 3,0mm i długość 10-36mm. </w:t>
            </w:r>
          </w:p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Średnice</w:t>
            </w:r>
            <w:proofErr w:type="spellEnd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śrub</w:t>
            </w:r>
            <w:proofErr w:type="spellEnd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kodowane</w:t>
            </w:r>
            <w:proofErr w:type="spellEnd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kolorami</w:t>
            </w:r>
            <w:proofErr w:type="spellEnd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4D6FB7" w:rsidRPr="00892D86" w:rsidTr="008A14A4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0" w:fill="FFFFFF"/>
            <w:vAlign w:val="center"/>
            <w:hideMark/>
          </w:tcPr>
          <w:p w:rsidR="004D6FB7" w:rsidRPr="00BA74B9" w:rsidRDefault="004D6FB7" w:rsidP="008A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Śruba zrywalna Snap-Off tytanowa o średnicy  2,0mm, długość 10-14mm, co 1mm</w:t>
            </w:r>
          </w:p>
        </w:tc>
      </w:tr>
      <w:tr w:rsidR="004D6FB7" w:rsidRPr="00892D86" w:rsidTr="008A14A4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0" w:fill="FFFFFF"/>
            <w:vAlign w:val="center"/>
            <w:hideMark/>
          </w:tcPr>
          <w:p w:rsidR="004D6FB7" w:rsidRPr="00BA74B9" w:rsidRDefault="004D6FB7" w:rsidP="008A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Klamra stalowa o szerokości 8mm i 10mm, prosta 90 stopni </w:t>
            </w:r>
          </w:p>
        </w:tc>
      </w:tr>
      <w:tr w:rsidR="004D6FB7" w:rsidRPr="00892D86" w:rsidTr="008A14A4">
        <w:trPr>
          <w:trHeight w:val="17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0" w:fill="FFFFFF"/>
            <w:vAlign w:val="center"/>
            <w:hideMark/>
          </w:tcPr>
          <w:p w:rsidR="004D6FB7" w:rsidRPr="00BA74B9" w:rsidRDefault="004D6FB7" w:rsidP="008A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- Płytka tytanowa do osteotomii otwierającej </w:t>
            </w:r>
            <w:proofErr w:type="spellStart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przypodstawnej</w:t>
            </w:r>
            <w:proofErr w:type="spellEnd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pierwszego promienia, z klinem dystansującym o grubości od 2 do 7mm, ze skokiem co milimetr, grubość płytki 0,5 mm, dostępna płytka bez klina. </w:t>
            </w: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 w:type="page"/>
            </w: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 w:type="page"/>
            </w:r>
          </w:p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Komplet: 1 płytka + 4 śruby</w:t>
            </w:r>
          </w:p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- Płytka tytanowa </w:t>
            </w:r>
            <w:proofErr w:type="spellStart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Lapidus</w:t>
            </w:r>
            <w:proofErr w:type="spellEnd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– dostępna płyta podeszwowa (prawa – dwa rozmiary, lewa – dwa rozmiary), płyta typu T (płyta przyśrodkowa – dwa rozmiary). </w:t>
            </w: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 w:type="page"/>
            </w:r>
          </w:p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Komplet: 1 płytka + 5 śrub</w:t>
            </w:r>
          </w:p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- Płytka tytanowa do artrodezy pierwszego stawu </w:t>
            </w:r>
            <w:proofErr w:type="spellStart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śródstopno</w:t>
            </w:r>
            <w:proofErr w:type="spellEnd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- paliczkowego wygięta anatomicznie w 10 stopniach koślawości i jednocześnie z wbudowanym zgięciem grzbietowym 0 i 8 stopni do wyboru śródoperacyjnie,  płyty proste dostępne w trzech rozmiarach, płyty anatomiczne dostępne w trzech rozmiarach (łącznie 11 typów), grubość płytki 1,5mm.</w:t>
            </w: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 w:type="page"/>
            </w:r>
          </w:p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 w:type="page"/>
              <w:t>Komplet: 1 płytka + 5 śrub</w:t>
            </w:r>
          </w:p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 Tytanowe śruby do płytek, blokowane i nieblokowane: średnica 2,3mm (dł. 10-30mm),  średnica 3,0mm (długość 10-40mm), średnica 3,5mm (dł. 14-44mm), średnica 4mm (długość 14-44mm).</w:t>
            </w:r>
          </w:p>
        </w:tc>
      </w:tr>
      <w:tr w:rsidR="004D6FB7" w:rsidRPr="00892D86" w:rsidTr="008A14A4">
        <w:trPr>
          <w:trHeight w:val="5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0" w:fill="FFFFFF"/>
            <w:vAlign w:val="center"/>
            <w:hideMark/>
          </w:tcPr>
          <w:p w:rsidR="004D6FB7" w:rsidRPr="00BA74B9" w:rsidRDefault="004D6FB7" w:rsidP="008A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B7" w:rsidRPr="00BA74B9" w:rsidRDefault="004D6FB7" w:rsidP="008A1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Proteza połowicza stawu </w:t>
            </w:r>
            <w:proofErr w:type="spellStart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śródstopno</w:t>
            </w:r>
            <w:proofErr w:type="spellEnd"/>
            <w:r w:rsidRPr="00BA7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- paliczkowego. Implant tytanowy mocowany śródszpikowo, dostępny w  5 rozmiarach, dostarczany w sterylnym opakowaniu.</w:t>
            </w:r>
          </w:p>
        </w:tc>
      </w:tr>
    </w:tbl>
    <w:p w:rsidR="004D6FB7" w:rsidRPr="00BA74B9" w:rsidRDefault="004D6FB7" w:rsidP="004D6FB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D6FB7" w:rsidRPr="00BA74B9" w:rsidRDefault="00415B0F" w:rsidP="004D6FB7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BA74B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Odpowiedź:  </w:t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>Zamawiający wyraża zgodę</w:t>
      </w:r>
    </w:p>
    <w:p w:rsidR="00415B0F" w:rsidRPr="00BA74B9" w:rsidRDefault="00415B0F" w:rsidP="004D6FB7">
      <w:pPr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415B0F" w:rsidRPr="00BA74B9" w:rsidRDefault="00415B0F" w:rsidP="004D6FB7">
      <w:pPr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BA74B9" w:rsidRDefault="00BA74B9" w:rsidP="004D6FB7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BA74B9" w:rsidRDefault="00BA74B9" w:rsidP="004D6FB7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BA74B9" w:rsidRDefault="00BA74B9" w:rsidP="004D6FB7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4D6FB7" w:rsidRPr="00BA74B9" w:rsidRDefault="004D6FB7" w:rsidP="004D6FB7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A74B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lastRenderedPageBreak/>
        <w:t xml:space="preserve">Pytanie 2, dot. Pakietu nr 3:  </w:t>
      </w:r>
      <w:r w:rsidRPr="00BA74B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</w:t>
      </w:r>
    </w:p>
    <w:p w:rsidR="004D6FB7" w:rsidRPr="00BA74B9" w:rsidRDefault="004D6FB7" w:rsidP="004D6FB7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Czy Zamawiający wyrazi zgodę na utworzenie depozytu („Banku implantów”) wyłącznie dla pozycji 1-3 i ze względu na ilość procedur dla pozycji 4 i 5 (5 zabiegów w okresie do 5.06.2020) umożliwi realizację dostaw zestawów operacyjnych w terminie do 24 godzin? </w:t>
      </w:r>
    </w:p>
    <w:p w:rsidR="00415B0F" w:rsidRPr="00BA74B9" w:rsidRDefault="00415B0F" w:rsidP="00415B0F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BA74B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Odpowiedź:  </w:t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>Zamawiający wyraża zgodę</w:t>
      </w:r>
    </w:p>
    <w:p w:rsidR="00415B0F" w:rsidRPr="00BA74B9" w:rsidRDefault="00415B0F" w:rsidP="004D6FB7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:rsidR="004D6FB7" w:rsidRPr="00BA74B9" w:rsidRDefault="004D6FB7" w:rsidP="004D6FB7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:rsidR="004D6FB7" w:rsidRPr="00BA74B9" w:rsidRDefault="004D6FB7" w:rsidP="004D6FB7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BA74B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Pytanie 3, dot. Pakietu nr 3:</w:t>
      </w:r>
    </w:p>
    <w:p w:rsidR="00935A9D" w:rsidRPr="00BA74B9" w:rsidRDefault="004D6FB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A74B9">
        <w:rPr>
          <w:rFonts w:ascii="Times New Roman" w:hAnsi="Times New Roman" w:cs="Times New Roman"/>
          <w:sz w:val="24"/>
          <w:szCs w:val="24"/>
          <w:lang w:val="pl-PL"/>
        </w:rPr>
        <w:tab/>
        <w:t>Czy Zamawiający dopuści możliwość dostarczenia wymaganego instrumentarium w kontenerach producenta - dedykowanych do oferowanego asortymentu, nie zawierających wymaganego filtra?</w:t>
      </w:r>
    </w:p>
    <w:p w:rsidR="00415B0F" w:rsidRPr="00BA74B9" w:rsidRDefault="00415B0F" w:rsidP="00415B0F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BA74B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Odpowiedź:  </w:t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>Zamawiający wyraża zgodę</w:t>
      </w:r>
    </w:p>
    <w:p w:rsidR="00415B0F" w:rsidRPr="00BA74B9" w:rsidRDefault="00415B0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15B0F" w:rsidRPr="00BA74B9" w:rsidRDefault="00415B0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15B0F" w:rsidRPr="00BA74B9" w:rsidRDefault="00415B0F" w:rsidP="00415B0F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BA74B9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Pytanie 4 dotyczy Pakietu 2</w:t>
      </w:r>
    </w:p>
    <w:p w:rsidR="00415B0F" w:rsidRPr="00BA74B9" w:rsidRDefault="00415B0F" w:rsidP="00415B0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Czy Zamawiający  dopuści manualny, zamknięty zestaw jednorazowy wraz z elementami służącymi do pobrania, preparatyki i aplikacji materiału biologicznego. Umożliwia przygotowanie koncentratu </w:t>
      </w:r>
      <w:proofErr w:type="spellStart"/>
      <w:r w:rsidRPr="00BA74B9">
        <w:rPr>
          <w:rFonts w:ascii="Times New Roman" w:hAnsi="Times New Roman" w:cs="Times New Roman"/>
          <w:sz w:val="24"/>
          <w:szCs w:val="24"/>
          <w:lang w:val="pl-PL"/>
        </w:rPr>
        <w:t>leukocytarno-bogatopłytkowego</w:t>
      </w:r>
      <w:proofErr w:type="spellEnd"/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 w trakcie 5min. wirowania (3000obr./min.). Charakteryzuje się:</w:t>
      </w:r>
    </w:p>
    <w:p w:rsidR="00415B0F" w:rsidRPr="00BA74B9" w:rsidRDefault="00415B0F" w:rsidP="00415B0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Przegroda skośna trwale oddzielająca warstwę erytrocytów z płytkami krwi od osocza. </w:t>
      </w:r>
      <w:r w:rsidRPr="00BA74B9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>2. Element konstrukcji wewnętrznej w postaci tulei umożliwiającej kumulowanie płytek w celu ich precyzyjnej aspiracji po przeprowadzeniu frakcjonowania.</w:t>
      </w:r>
      <w:r w:rsidRPr="00BA74B9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>3. Gwintowana podstawa separatora umożliwiająca podnoszenie frakcji erytrocytów z zachowaniem szczelności zamkniętego systemu oraz regulująca objętość przetwarzanej krwi.</w:t>
      </w:r>
      <w:r w:rsidRPr="00BA74B9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>4. Bagnet z gwintem blokującym, regulującym ujście erytrocytów.</w:t>
      </w:r>
      <w:r w:rsidRPr="00BA74B9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5. Możliwość przetwarzania od 15 do 30ml (50ml) krwi i uzyskania 0.2-3ml (6ml) PRP przy stężeniu 4-6 razy wartość bazowa, ale nie mniej niż 1mln.płytek w </w:t>
      </w:r>
      <w:proofErr w:type="spellStart"/>
      <w:r w:rsidRPr="00BA74B9">
        <w:rPr>
          <w:rFonts w:ascii="Times New Roman" w:hAnsi="Times New Roman" w:cs="Times New Roman"/>
          <w:sz w:val="24"/>
          <w:szCs w:val="24"/>
          <w:lang w:val="pl-PL"/>
        </w:rPr>
        <w:t>mikrolitrze</w:t>
      </w:r>
      <w:proofErr w:type="spellEnd"/>
      <w:r w:rsidRPr="00BA74B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A74B9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6. Preparatyka wyłącznie przy użyciu wirówki o wymaganych parametrach prędkość do 4400 </w:t>
      </w:r>
      <w:proofErr w:type="spellStart"/>
      <w:r w:rsidRPr="00BA74B9">
        <w:rPr>
          <w:rFonts w:ascii="Times New Roman" w:hAnsi="Times New Roman" w:cs="Times New Roman"/>
          <w:sz w:val="24"/>
          <w:szCs w:val="24"/>
          <w:lang w:val="pl-PL"/>
        </w:rPr>
        <w:t>obr</w:t>
      </w:r>
      <w:proofErr w:type="spellEnd"/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./min., energia kinetyczna 2280 </w:t>
      </w:r>
      <w:proofErr w:type="spellStart"/>
      <w:r w:rsidRPr="00BA74B9">
        <w:rPr>
          <w:rFonts w:ascii="Times New Roman" w:hAnsi="Times New Roman" w:cs="Times New Roman"/>
          <w:sz w:val="24"/>
          <w:szCs w:val="24"/>
          <w:lang w:val="pl-PL"/>
        </w:rPr>
        <w:t>Nm</w:t>
      </w:r>
      <w:proofErr w:type="spellEnd"/>
      <w:r w:rsidRPr="00BA74B9">
        <w:rPr>
          <w:rFonts w:ascii="Times New Roman" w:hAnsi="Times New Roman" w:cs="Times New Roman"/>
          <w:sz w:val="24"/>
          <w:szCs w:val="24"/>
          <w:lang w:val="pl-PL"/>
        </w:rPr>
        <w:t>, 230V, 1,2A, 50-60Hz. </w:t>
      </w:r>
      <w:r w:rsidRPr="00BA74B9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>7. Wirówka posiada certyfikat dopuszczenia do obrotu CE w kategorii urządzenie medyczne (Directive 93/42/EEC)</w:t>
      </w:r>
    </w:p>
    <w:p w:rsidR="00415B0F" w:rsidRPr="00BA74B9" w:rsidRDefault="00415B0F" w:rsidP="00415B0F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BA74B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Odpowiedź:  </w:t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>Zamawiający wyraża zgodę</w:t>
      </w:r>
    </w:p>
    <w:p w:rsidR="00415B0F" w:rsidRPr="00BA74B9" w:rsidRDefault="00415B0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90F39" w:rsidRPr="00BA74B9" w:rsidRDefault="00D90F3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90F39" w:rsidRPr="00BA74B9" w:rsidRDefault="00D90F3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90F39" w:rsidRPr="00BA74B9" w:rsidRDefault="00D90F39" w:rsidP="00D90F39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BA74B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Pytanie 5, dotyczy Pakietu nr 2 </w:t>
      </w:r>
    </w:p>
    <w:p w:rsidR="00D90F39" w:rsidRPr="00BA74B9" w:rsidRDefault="00D90F39" w:rsidP="00D90F3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Czy w Pakiecie  2  Zamawiający dopuści </w:t>
      </w:r>
      <w:r w:rsidRPr="00BA74B9">
        <w:rPr>
          <w:rFonts w:ascii="Times New Roman" w:hAnsi="Times New Roman" w:cs="Times New Roman"/>
          <w:bCs/>
          <w:sz w:val="24"/>
          <w:szCs w:val="24"/>
          <w:lang w:val="pl-PL"/>
        </w:rPr>
        <w:t>g</w:t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rawitacyjny system separacji koncentratu </w:t>
      </w:r>
      <w:proofErr w:type="spellStart"/>
      <w:r w:rsidRPr="00BA74B9">
        <w:rPr>
          <w:rFonts w:ascii="Times New Roman" w:hAnsi="Times New Roman" w:cs="Times New Roman"/>
          <w:sz w:val="24"/>
          <w:szCs w:val="24"/>
          <w:lang w:val="pl-PL"/>
        </w:rPr>
        <w:t>leukocytarno</w:t>
      </w:r>
      <w:proofErr w:type="spellEnd"/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-płytkowego, umożliwiający wyprodukowanie zagęszczonego roztworu płytek z własnej krwi obwodowej pacjenta ( z 26 ml krwi uzyskuje nie mniej niż 3 ml koncentratu  płytkowego), pozwalający na odzyskiwanie ponad 90% trombocytów oraz ponad 50% leukocytów z próbki krwi, gwarantujący ponad dziewięciokrotną koncentrację płytek krwi, potwierdzoną katalogiem oraz publikacjami naukowymi, ze skutecznością kliniczną produktu potwierdzoną badaniami </w:t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lastRenderedPageBreak/>
        <w:t>naukowymi,  wysoką powtarzalnością koncentracji uzyskanego osocza bogato płytkowego i  niską zawartością erytrocytów.</w:t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br/>
        <w:t>Zestaw składa się z:</w:t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br/>
        <w:t xml:space="preserve">- 1 separator PRP 30ml, który posiada 3 niezależne  porty typu </w:t>
      </w:r>
      <w:proofErr w:type="spellStart"/>
      <w:r w:rsidRPr="00BA74B9">
        <w:rPr>
          <w:rFonts w:ascii="Times New Roman" w:hAnsi="Times New Roman" w:cs="Times New Roman"/>
          <w:sz w:val="24"/>
          <w:szCs w:val="24"/>
          <w:lang w:val="pl-PL"/>
        </w:rPr>
        <w:t>luerlock</w:t>
      </w:r>
      <w:proofErr w:type="spellEnd"/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 umożliwiające: wypełnienie krwią separatora, pobranie osocza ubogopłytkowego (PPP - </w:t>
      </w:r>
      <w:proofErr w:type="spellStart"/>
      <w:r w:rsidRPr="00BA74B9">
        <w:rPr>
          <w:rFonts w:ascii="Times New Roman" w:hAnsi="Times New Roman" w:cs="Times New Roman"/>
          <w:sz w:val="24"/>
          <w:szCs w:val="24"/>
          <w:lang w:val="pl-PL"/>
        </w:rPr>
        <w:t>Platelet</w:t>
      </w:r>
      <w:proofErr w:type="spellEnd"/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A74B9">
        <w:rPr>
          <w:rFonts w:ascii="Times New Roman" w:hAnsi="Times New Roman" w:cs="Times New Roman"/>
          <w:sz w:val="24"/>
          <w:szCs w:val="24"/>
          <w:lang w:val="pl-PL"/>
        </w:rPr>
        <w:t>Poor</w:t>
      </w:r>
      <w:proofErr w:type="spellEnd"/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A74B9">
        <w:rPr>
          <w:rFonts w:ascii="Times New Roman" w:hAnsi="Times New Roman" w:cs="Times New Roman"/>
          <w:sz w:val="24"/>
          <w:szCs w:val="24"/>
          <w:lang w:val="pl-PL"/>
        </w:rPr>
        <w:t>Plasma</w:t>
      </w:r>
      <w:proofErr w:type="spellEnd"/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) i pobranie osocza bogato płytkowego (PRP- </w:t>
      </w:r>
      <w:proofErr w:type="spellStart"/>
      <w:r w:rsidRPr="00BA74B9">
        <w:rPr>
          <w:rFonts w:ascii="Times New Roman" w:hAnsi="Times New Roman" w:cs="Times New Roman"/>
          <w:sz w:val="24"/>
          <w:szCs w:val="24"/>
          <w:lang w:val="pl-PL"/>
        </w:rPr>
        <w:t>Platelet</w:t>
      </w:r>
      <w:proofErr w:type="spellEnd"/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A74B9">
        <w:rPr>
          <w:rFonts w:ascii="Times New Roman" w:hAnsi="Times New Roman" w:cs="Times New Roman"/>
          <w:sz w:val="24"/>
          <w:szCs w:val="24"/>
          <w:lang w:val="pl-PL"/>
        </w:rPr>
        <w:t>Rich</w:t>
      </w:r>
      <w:proofErr w:type="spellEnd"/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A74B9">
        <w:rPr>
          <w:rFonts w:ascii="Times New Roman" w:hAnsi="Times New Roman" w:cs="Times New Roman"/>
          <w:sz w:val="24"/>
          <w:szCs w:val="24"/>
          <w:lang w:val="pl-PL"/>
        </w:rPr>
        <w:t>Plasma</w:t>
      </w:r>
      <w:proofErr w:type="spellEnd"/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) przy zachowaniu bardzo wysokiej aseptyki. Porty są oznaczone różnymi kolorami a przed mieszaniem się PRP z erytrocytami i osoczem ubogo płytkowym (PPP) system jest zabezpieczony pływakiem-przegrodą skośnie ustawionym do ścianek separatora, który mechanicznie oddziela uzyskane frakcje i w którym znajduje się komora na odwirowane PRP                                                                       - 1 strzykawka </w:t>
      </w:r>
      <w:proofErr w:type="spellStart"/>
      <w:r w:rsidRPr="00BA74B9">
        <w:rPr>
          <w:rFonts w:ascii="Times New Roman" w:hAnsi="Times New Roman" w:cs="Times New Roman"/>
          <w:sz w:val="24"/>
          <w:szCs w:val="24"/>
          <w:lang w:val="pl-PL"/>
        </w:rPr>
        <w:t>pobraniowa</w:t>
      </w:r>
      <w:proofErr w:type="spellEnd"/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 30ml</w:t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br/>
        <w:t>- 1 strzykawka transportowa 30ml</w:t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br/>
        <w:t xml:space="preserve">- 1 strzykawka transportowa 10ml </w:t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br/>
        <w:t xml:space="preserve">- igła 18                                                                                                                                                     </w:t>
      </w:r>
    </w:p>
    <w:p w:rsidR="00D90F39" w:rsidRPr="00BA74B9" w:rsidRDefault="00D90F39" w:rsidP="00D90F3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A74B9">
        <w:rPr>
          <w:rFonts w:ascii="Times New Roman" w:hAnsi="Times New Roman" w:cs="Times New Roman"/>
          <w:sz w:val="24"/>
          <w:szCs w:val="24"/>
          <w:lang w:val="pl-PL"/>
        </w:rPr>
        <w:t xml:space="preserve">  - 30 ml ACD-A</w:t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br/>
        <w:t xml:space="preserve">- zestaw do pobrania krwi , </w:t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A74B9">
        <w:rPr>
          <w:rFonts w:ascii="Times New Roman" w:hAnsi="Times New Roman" w:cs="Times New Roman"/>
          <w:sz w:val="24"/>
          <w:szCs w:val="24"/>
          <w:lang w:val="pl-PL"/>
        </w:rPr>
        <w:tab/>
        <w:t xml:space="preserve"> </w:t>
      </w:r>
    </w:p>
    <w:p w:rsidR="00D90F39" w:rsidRPr="00BA74B9" w:rsidRDefault="00D90F39" w:rsidP="00D90F39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BA74B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Odpowiedź:  </w:t>
      </w:r>
      <w:r w:rsidR="0098083C">
        <w:rPr>
          <w:rFonts w:ascii="Times New Roman" w:hAnsi="Times New Roman" w:cs="Times New Roman"/>
          <w:sz w:val="24"/>
          <w:szCs w:val="24"/>
          <w:lang w:val="pl-PL"/>
        </w:rPr>
        <w:t>Zamawiający dopuszcza.</w:t>
      </w:r>
    </w:p>
    <w:p w:rsidR="00CC2F26" w:rsidRPr="00BA74B9" w:rsidRDefault="00CC2F26" w:rsidP="00D90F3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C2F26" w:rsidRPr="00BA74B9" w:rsidRDefault="00CC2F26" w:rsidP="00D90F3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C2F26" w:rsidRPr="00BA74B9" w:rsidRDefault="00CC2F26" w:rsidP="00CC2F2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BA74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Pytanie 6 dotyczy pakietu nr 1.</w:t>
      </w:r>
    </w:p>
    <w:p w:rsidR="00CC2F26" w:rsidRPr="00BA74B9" w:rsidRDefault="00CC2F26" w:rsidP="00CC2F26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BA74B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Czy Zamawiający potwierdza brak wymogu utworzenia depozytu „banku implantów” dla produktu leczniczego określonego w Pakiecie nr 1 „Klej fibrynowy” zgodnie z przepisami </w:t>
      </w:r>
      <w:r w:rsidRPr="00BA74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Ustawy Prawo Farmaceutyczne (art. 72 ust. 3) oraz Rozporządzeniem MZ w sprawie wymagań Dobrej Praktyki Dystrybucyjnej, które to przepisy nie zezwalają na utworzenie depozytu na produkty lecznicze?</w:t>
      </w:r>
    </w:p>
    <w:p w:rsidR="00CC2F26" w:rsidRPr="00BA74B9" w:rsidRDefault="00CC2F26" w:rsidP="00CC2F26">
      <w:pPr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BA74B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Jednocześnie informuję, że w załączniku nr 2 do SIWZ w opisie pakietu nr  1, brak jest informacji o wymogu utworzenia Depozytu. </w:t>
      </w:r>
    </w:p>
    <w:p w:rsidR="00CC2F26" w:rsidRPr="00BA74B9" w:rsidRDefault="00CC2F26" w:rsidP="00CC2F26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892D86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Odpowiedź:  </w:t>
      </w:r>
      <w:r w:rsidRPr="00892D86">
        <w:rPr>
          <w:rFonts w:ascii="Times New Roman" w:hAnsi="Times New Roman" w:cs="Times New Roman"/>
          <w:sz w:val="24"/>
          <w:szCs w:val="24"/>
          <w:lang w:val="pl-PL"/>
        </w:rPr>
        <w:t xml:space="preserve">Zamawiający </w:t>
      </w:r>
      <w:r w:rsidR="00892D86">
        <w:rPr>
          <w:rFonts w:ascii="Times New Roman" w:hAnsi="Times New Roman" w:cs="Times New Roman"/>
          <w:sz w:val="24"/>
          <w:szCs w:val="24"/>
          <w:lang w:val="pl-PL"/>
        </w:rPr>
        <w:t>potwierdza.</w:t>
      </w:r>
    </w:p>
    <w:p w:rsidR="00CC2F26" w:rsidRPr="00BA74B9" w:rsidRDefault="00CC2F26" w:rsidP="00CC2F26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</w:p>
    <w:p w:rsidR="00CC2F26" w:rsidRPr="00BA74B9" w:rsidRDefault="00CC2F26" w:rsidP="00CC2F26">
      <w:pPr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pl-PL" w:eastAsia="pl-PL"/>
        </w:rPr>
      </w:pPr>
      <w:r w:rsidRPr="00BA74B9">
        <w:rPr>
          <w:rFonts w:ascii="Times New Roman" w:eastAsia="Calibri" w:hAnsi="Times New Roman" w:cs="Times New Roman"/>
          <w:b/>
          <w:sz w:val="24"/>
          <w:szCs w:val="24"/>
          <w:u w:val="single"/>
          <w:lang w:val="pl-PL" w:eastAsia="pl-PL"/>
        </w:rPr>
        <w:t>Pytanie 7</w:t>
      </w:r>
    </w:p>
    <w:p w:rsidR="00CC2F26" w:rsidRPr="00BA74B9" w:rsidRDefault="00CC2F26" w:rsidP="00CC2F26">
      <w:pPr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BA74B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Proszę o określenie terminu dostaw produktów (Pakiet 1), nie objętych wymogiem utworzenia depozytu oraz o uwzględnienie tych terminów w załączniku nr 5 – Wzór umowy. </w:t>
      </w:r>
    </w:p>
    <w:p w:rsidR="000668A8" w:rsidRPr="00BA74B9" w:rsidRDefault="00CC2F26" w:rsidP="00D90F39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BA74B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Odpowiedź</w:t>
      </w:r>
      <w:r w:rsidRPr="00BA74B9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: </w:t>
      </w:r>
      <w:r w:rsidR="000668A8" w:rsidRPr="00BA74B9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="000668A8" w:rsidRPr="00BA74B9">
        <w:rPr>
          <w:rFonts w:ascii="Times New Roman" w:hAnsi="Times New Roman" w:cs="Times New Roman"/>
          <w:sz w:val="24"/>
          <w:szCs w:val="24"/>
          <w:lang w:val="pl-PL"/>
        </w:rPr>
        <w:t>Jest już taki zapis</w:t>
      </w:r>
      <w:r w:rsidR="00BA74B9" w:rsidRPr="00BA74B9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BA74B9" w:rsidRDefault="000668A8" w:rsidP="00D90F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BA74B9">
        <w:rPr>
          <w:rFonts w:ascii="Times New Roman" w:hAnsi="Times New Roman" w:cs="Times New Roman"/>
          <w:sz w:val="24"/>
          <w:szCs w:val="24"/>
          <w:u w:val="single"/>
          <w:lang w:val="pl-PL"/>
        </w:rPr>
        <w:t>„</w:t>
      </w:r>
      <w:r w:rsidRPr="00BA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Dla towarów, dla których utworzony zostanie „Bank” i </w:t>
      </w:r>
      <w:r w:rsidRPr="00BA74B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pl-PL"/>
        </w:rPr>
        <w:t>pozostałych</w:t>
      </w:r>
      <w:r w:rsidRPr="00BA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(nie dotyczy „zestawów lotnych”) Wykonawca dostarczy Zamawiającemu w terminie max. 5 dni roboczych (</w:t>
      </w:r>
      <w:proofErr w:type="spellStart"/>
      <w:r w:rsidRPr="00BA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pn-pt</w:t>
      </w:r>
      <w:proofErr w:type="spellEnd"/>
      <w:r w:rsidRPr="00BA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)</w:t>
      </w:r>
    </w:p>
    <w:p w:rsidR="00CC2F26" w:rsidRPr="000668A8" w:rsidRDefault="000668A8" w:rsidP="00D90F39">
      <w:pPr>
        <w:rPr>
          <w:rFonts w:ascii="Calibri" w:hAnsi="Calibri" w:cs="Calibri"/>
          <w:sz w:val="22"/>
          <w:szCs w:val="22"/>
          <w:lang w:val="pl-PL"/>
        </w:rPr>
      </w:pPr>
      <w:r w:rsidRPr="00BA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od dnia zawarcia umowy</w:t>
      </w:r>
      <w:bookmarkStart w:id="0" w:name="_GoBack"/>
      <w:bookmarkEnd w:id="0"/>
      <w:r w:rsidRPr="00BA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”</w:t>
      </w:r>
    </w:p>
    <w:sectPr w:rsidR="00CC2F26" w:rsidRPr="000668A8" w:rsidSect="00C76BC2">
      <w:footerReference w:type="default" r:id="rId7"/>
      <w:footerReference w:type="first" r:id="rId8"/>
      <w:pgSz w:w="11906" w:h="16838" w:code="9"/>
      <w:pgMar w:top="3005" w:right="1191" w:bottom="170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B7" w:rsidRDefault="004D6FB7" w:rsidP="004D6FB7">
      <w:r>
        <w:separator/>
      </w:r>
    </w:p>
  </w:endnote>
  <w:endnote w:type="continuationSeparator" w:id="0">
    <w:p w:rsidR="004D6FB7" w:rsidRDefault="004D6FB7" w:rsidP="004D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FC" w:rsidRDefault="00892D86" w:rsidP="001E43FC">
    <w:pPr>
      <w:pStyle w:val="Stopka"/>
      <w:spacing w:line="192" w:lineRule="auto"/>
      <w:rPr>
        <w:rFonts w:ascii="Arial Unicode MS" w:eastAsia="Arial Unicode MS" w:hAnsi="Arial Unicode MS" w:cs="Arial Unicode MS"/>
        <w:sz w:val="12"/>
        <w:szCs w:val="12"/>
      </w:rPr>
    </w:pPr>
  </w:p>
  <w:p w:rsidR="001E43FC" w:rsidRDefault="00892D86" w:rsidP="001E43FC">
    <w:pPr>
      <w:pStyle w:val="Stopka"/>
      <w:spacing w:line="192" w:lineRule="auto"/>
      <w:rPr>
        <w:rFonts w:ascii="Arial Unicode MS" w:eastAsia="Arial Unicode MS" w:hAnsi="Arial Unicode MS" w:cs="Arial Unicode MS"/>
        <w:sz w:val="12"/>
        <w:szCs w:val="12"/>
        <w:lang w:val="en-US"/>
      </w:rPr>
    </w:pPr>
  </w:p>
  <w:p w:rsidR="001E43FC" w:rsidRDefault="00892D86" w:rsidP="001E43FC">
    <w:pPr>
      <w:pStyle w:val="Stopka"/>
      <w:rPr>
        <w:rFonts w:ascii="Arial Unicode MS" w:eastAsia="Arial Unicode MS" w:hAnsi="Arial Unicode MS" w:cs="Arial Unicode MS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7F" w:rsidRPr="0076527F" w:rsidRDefault="00892D86" w:rsidP="0076527F">
    <w:pPr>
      <w:tabs>
        <w:tab w:val="center" w:pos="4536"/>
        <w:tab w:val="right" w:pos="9072"/>
      </w:tabs>
      <w:spacing w:line="192" w:lineRule="auto"/>
      <w:rPr>
        <w:sz w:val="12"/>
        <w:szCs w:val="12"/>
      </w:rPr>
    </w:pPr>
  </w:p>
  <w:p w:rsidR="0076527F" w:rsidRPr="008D0B9A" w:rsidRDefault="00892D86" w:rsidP="0076527F">
    <w:pPr>
      <w:tabs>
        <w:tab w:val="center" w:pos="4536"/>
        <w:tab w:val="right" w:pos="9072"/>
      </w:tabs>
      <w:spacing w:line="192" w:lineRule="auto"/>
      <w:rPr>
        <w:color w:val="262626" w:themeColor="text1" w:themeTint="D9"/>
        <w:sz w:val="12"/>
        <w:szCs w:val="12"/>
        <w:lang w:val="en-US"/>
      </w:rPr>
    </w:pPr>
  </w:p>
  <w:p w:rsidR="0076527F" w:rsidRPr="008D0B9A" w:rsidRDefault="004D6FB7" w:rsidP="0076527F">
    <w:pPr>
      <w:tabs>
        <w:tab w:val="center" w:pos="4536"/>
        <w:tab w:val="right" w:pos="9072"/>
      </w:tabs>
      <w:rPr>
        <w:color w:val="262626" w:themeColor="text1" w:themeTint="D9"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476B7366" wp14:editId="0036E6E7">
          <wp:simplePos x="0" y="0"/>
          <wp:positionH relativeFrom="column">
            <wp:posOffset>-784860</wp:posOffset>
          </wp:positionH>
          <wp:positionV relativeFrom="paragraph">
            <wp:posOffset>493395</wp:posOffset>
          </wp:positionV>
          <wp:extent cx="7819390" cy="11045825"/>
          <wp:effectExtent l="0" t="0" r="0" b="3175"/>
          <wp:wrapNone/>
          <wp:docPr id="3" name="Grafik 2" descr="J:\Dept Marketing\Apple\Arthrex Stationary\Letter_Paper\JPG\Geschäftspapier_210x297mm_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Dept Marketing\Apple\Arthrex Stationary\Letter_Paper\JPG\Geschäftspapier_210x297mm_sc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390" cy="1104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B7" w:rsidRDefault="004D6FB7" w:rsidP="004D6FB7">
      <w:r>
        <w:separator/>
      </w:r>
    </w:p>
  </w:footnote>
  <w:footnote w:type="continuationSeparator" w:id="0">
    <w:p w:rsidR="004D6FB7" w:rsidRDefault="004D6FB7" w:rsidP="004D6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C3686E"/>
    <w:multiLevelType w:val="hybridMultilevel"/>
    <w:tmpl w:val="1312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B7"/>
    <w:rsid w:val="000668A8"/>
    <w:rsid w:val="000E5E7F"/>
    <w:rsid w:val="00415B0F"/>
    <w:rsid w:val="004D6FB7"/>
    <w:rsid w:val="00892D86"/>
    <w:rsid w:val="00935A9D"/>
    <w:rsid w:val="0098083C"/>
    <w:rsid w:val="00A001E7"/>
    <w:rsid w:val="00BA74B9"/>
    <w:rsid w:val="00CC2F26"/>
    <w:rsid w:val="00D90F39"/>
    <w:rsid w:val="00F0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1DCA84-6AFC-4FE7-BAC0-F048104C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FB7"/>
    <w:pPr>
      <w:spacing w:after="0" w:line="240" w:lineRule="auto"/>
    </w:pPr>
    <w:rPr>
      <w:rFonts w:ascii="Arial Unicode MS" w:eastAsia="Arial Unicode MS" w:hAnsi="Arial Unicode MS" w:cs="Arial Unicode MS"/>
      <w:sz w:val="18"/>
      <w:szCs w:val="1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FB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agwekZnak">
    <w:name w:val="Nagłówek Znak"/>
    <w:basedOn w:val="Domylnaczcionkaakapitu"/>
    <w:link w:val="Nagwek"/>
    <w:rsid w:val="004D6FB7"/>
    <w:rPr>
      <w:rFonts w:eastAsiaTheme="minorEastAsia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4D6FB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4D6FB7"/>
    <w:rPr>
      <w:rFonts w:eastAsiaTheme="minorEastAsia"/>
      <w:lang w:val="de-DE" w:eastAsia="ja-JP"/>
    </w:rPr>
  </w:style>
  <w:style w:type="table" w:customStyle="1" w:styleId="TableGrid1">
    <w:name w:val="Table Grid1"/>
    <w:basedOn w:val="Standardowy"/>
    <w:next w:val="Tabela-Siatka"/>
    <w:uiPriority w:val="59"/>
    <w:rsid w:val="004D6FB7"/>
    <w:pPr>
      <w:spacing w:after="0" w:line="240" w:lineRule="auto"/>
    </w:pPr>
    <w:rPr>
      <w:rFonts w:eastAsia="Arial Unicode MS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6FB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D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5</cp:revision>
  <dcterms:created xsi:type="dcterms:W3CDTF">2018-10-04T09:02:00Z</dcterms:created>
  <dcterms:modified xsi:type="dcterms:W3CDTF">2018-10-05T10:07:00Z</dcterms:modified>
</cp:coreProperties>
</file>